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80" w:rsidRPr="002D00DE" w:rsidRDefault="00B03766" w:rsidP="00F9544B">
      <w:pPr>
        <w:jc w:val="center"/>
        <w:rPr>
          <w:rFonts w:ascii="Montserrat" w:hAnsi="Montserrat"/>
        </w:rPr>
      </w:pPr>
      <w:r w:rsidRPr="002D00DE">
        <w:rPr>
          <w:rFonts w:ascii="Montserrat" w:hAnsi="Montserrat"/>
        </w:rPr>
        <w:t>MATR</w:t>
      </w:r>
      <w:r w:rsidR="000A03B4" w:rsidRPr="002D00DE">
        <w:rPr>
          <w:rFonts w:ascii="Montserrat" w:hAnsi="Montserrat"/>
        </w:rPr>
        <w:t>I</w:t>
      </w:r>
      <w:r w:rsidRPr="002D00DE">
        <w:rPr>
          <w:rFonts w:ascii="Montserrat" w:hAnsi="Montserrat"/>
        </w:rPr>
        <w:t xml:space="preserve">Z DE INDICADORES </w:t>
      </w:r>
      <w:r w:rsidR="003115CD" w:rsidRPr="008B49E1">
        <w:rPr>
          <w:rFonts w:ascii="Montserrat" w:hAnsi="Montserrat"/>
          <w:highlight w:val="cyan"/>
        </w:rPr>
        <w:t>20</w:t>
      </w:r>
      <w:r w:rsidR="00996F31" w:rsidRPr="008B49E1">
        <w:rPr>
          <w:rFonts w:ascii="Montserrat" w:hAnsi="Montserrat"/>
          <w:highlight w:val="cyan"/>
        </w:rPr>
        <w:t>2</w:t>
      </w:r>
      <w:r w:rsidR="008B49E1" w:rsidRPr="008B49E1">
        <w:rPr>
          <w:rFonts w:ascii="Montserrat" w:hAnsi="Montserrat"/>
          <w:highlight w:val="cyan"/>
        </w:rPr>
        <w:t>3</w:t>
      </w:r>
    </w:p>
    <w:p w:rsidR="000A03B4" w:rsidRPr="002D00DE" w:rsidRDefault="00B03766" w:rsidP="00F9544B">
      <w:pPr>
        <w:jc w:val="center"/>
        <w:rPr>
          <w:rFonts w:ascii="Montserrat" w:hAnsi="Montserrat"/>
        </w:rPr>
      </w:pPr>
      <w:r w:rsidRPr="002D00DE">
        <w:rPr>
          <w:rFonts w:ascii="Montserrat" w:hAnsi="Montserrat"/>
        </w:rPr>
        <w:t xml:space="preserve">DEL PROGRAMA FORMACIÓN Y CAPACITACIÓN </w:t>
      </w:r>
    </w:p>
    <w:p w:rsidR="00B03766" w:rsidRPr="002D00DE" w:rsidRDefault="00B03766" w:rsidP="00F9544B">
      <w:pPr>
        <w:jc w:val="center"/>
        <w:rPr>
          <w:rFonts w:ascii="Montserrat" w:hAnsi="Montserrat"/>
        </w:rPr>
      </w:pPr>
      <w:r w:rsidRPr="002D00DE">
        <w:rPr>
          <w:rFonts w:ascii="Montserrat" w:hAnsi="Montserrat"/>
        </w:rPr>
        <w:t>DE RECURSOS HUMANOS PARA LA SALUD</w:t>
      </w:r>
    </w:p>
    <w:p w:rsidR="00B03766" w:rsidRPr="002D00DE" w:rsidRDefault="00B03766" w:rsidP="00B03766">
      <w:pPr>
        <w:jc w:val="center"/>
        <w:rPr>
          <w:rFonts w:ascii="Montserrat" w:hAnsi="Montserrat"/>
        </w:rPr>
      </w:pPr>
      <w:r w:rsidRPr="002D00DE">
        <w:rPr>
          <w:rFonts w:ascii="Montserrat" w:hAnsi="Montserrat"/>
        </w:rPr>
        <w:t>FICHA TÉCNICA</w:t>
      </w:r>
      <w:r w:rsidR="00EA2E80" w:rsidRPr="002D00DE">
        <w:rPr>
          <w:rFonts w:ascii="Montserrat" w:hAnsi="Montserrat"/>
        </w:rPr>
        <w:t xml:space="preserve"> </w:t>
      </w:r>
      <w:r w:rsidR="00612013" w:rsidRPr="008B49E1">
        <w:rPr>
          <w:rFonts w:ascii="Montserrat" w:hAnsi="Montserrat"/>
          <w:highlight w:val="cyan"/>
        </w:rPr>
        <w:t>JU</w:t>
      </w:r>
      <w:r w:rsidR="008B49E1" w:rsidRPr="008B49E1">
        <w:rPr>
          <w:rFonts w:ascii="Montserrat" w:hAnsi="Montserrat"/>
          <w:highlight w:val="cyan"/>
        </w:rPr>
        <w:t>NIO 27 2022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48"/>
        <w:gridCol w:w="188"/>
        <w:gridCol w:w="48"/>
        <w:gridCol w:w="256"/>
        <w:gridCol w:w="180"/>
        <w:gridCol w:w="360"/>
        <w:gridCol w:w="720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2D00DE" w:rsidTr="008F525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2D00DE" w:rsidRDefault="00315477" w:rsidP="00660890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Porcentaje de </w:t>
            </w:r>
            <w:r w:rsidR="00660890" w:rsidRPr="002D00D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espacios académicos ocupados</w:t>
            </w:r>
          </w:p>
        </w:tc>
      </w:tr>
      <w:tr w:rsidR="008325CB" w:rsidRPr="002D00DE" w:rsidTr="008F525E">
        <w:tc>
          <w:tcPr>
            <w:tcW w:w="10398" w:type="dxa"/>
            <w:gridSpan w:val="26"/>
            <w:tcBorders>
              <w:bottom w:val="nil"/>
            </w:tcBorders>
            <w:shd w:val="clear" w:color="auto" w:fill="76923C" w:themeFill="accent3" w:themeFillShade="BF"/>
          </w:tcPr>
          <w:p w:rsidR="008325CB" w:rsidRPr="002D00DE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D00DE" w:rsidTr="0014257E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2D00DE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2D00DE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D00DE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2D00DE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:rsidR="006962E7" w:rsidRPr="002D00DE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2D00DE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2D00DE" w:rsidTr="0014257E">
        <w:tc>
          <w:tcPr>
            <w:tcW w:w="10398" w:type="dxa"/>
            <w:gridSpan w:val="26"/>
            <w:shd w:val="clear" w:color="auto" w:fill="auto"/>
          </w:tcPr>
          <w:p w:rsidR="00E87793" w:rsidRPr="002D00DE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2D00DE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2D00DE" w:rsidTr="0014257E">
        <w:tc>
          <w:tcPr>
            <w:tcW w:w="4320" w:type="dxa"/>
            <w:gridSpan w:val="10"/>
            <w:shd w:val="clear" w:color="auto" w:fill="auto"/>
          </w:tcPr>
          <w:p w:rsidR="007C13B1" w:rsidRPr="002D00DE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:rsidR="007C13B1" w:rsidRPr="002D00DE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2064A0" w:rsidRPr="002D00DE" w:rsidTr="0014257E">
        <w:tc>
          <w:tcPr>
            <w:tcW w:w="10398" w:type="dxa"/>
            <w:gridSpan w:val="26"/>
            <w:shd w:val="clear" w:color="auto" w:fill="auto"/>
          </w:tcPr>
          <w:p w:rsidR="002064A0" w:rsidRPr="002D00DE" w:rsidRDefault="002064A0" w:rsidP="002064A0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2064A0" w:rsidRPr="002D00DE" w:rsidRDefault="002064A0" w:rsidP="002064A0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formación, de posgrado y educación continua en las unidades / entidades ejecutoras del programa</w:t>
            </w:r>
          </w:p>
        </w:tc>
      </w:tr>
      <w:tr w:rsidR="002064A0" w:rsidRPr="002D00DE" w:rsidTr="0014257E">
        <w:tc>
          <w:tcPr>
            <w:tcW w:w="10398" w:type="dxa"/>
            <w:gridSpan w:val="26"/>
            <w:shd w:val="clear" w:color="auto" w:fill="auto"/>
          </w:tcPr>
          <w:p w:rsidR="002064A0" w:rsidRPr="002D00DE" w:rsidRDefault="002064A0" w:rsidP="002064A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2064A0" w:rsidRPr="002D00DE" w:rsidRDefault="002064A0" w:rsidP="002064A0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Formar médicos especialistas y otras profesionistas de la salud mediante estudios de posgrado que</w:t>
            </w:r>
          </w:p>
          <w:p w:rsidR="002064A0" w:rsidRPr="002D00DE" w:rsidRDefault="002064A0" w:rsidP="002064A0">
            <w:pPr>
              <w:tabs>
                <w:tab w:val="num" w:pos="540"/>
              </w:tabs>
              <w:ind w:left="540" w:right="-468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contribuyan a mejorar la salud de la población</w:t>
            </w:r>
          </w:p>
        </w:tc>
      </w:tr>
      <w:tr w:rsidR="00E23603" w:rsidRPr="002D00DE" w:rsidTr="0014257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E23603" w:rsidRPr="002D00DE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2D00DE" w:rsidRDefault="00F716EC" w:rsidP="00771D8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Actividad</w:t>
            </w:r>
            <w:r w:rsidR="00541E9A" w:rsidRPr="002D00DE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E101C7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A064A" w:rsidRPr="002D00DE">
              <w:rPr>
                <w:rFonts w:ascii="Montserrat" w:hAnsi="Montserrat" w:cs="Arial"/>
                <w:bCs/>
                <w:sz w:val="20"/>
                <w:szCs w:val="20"/>
              </w:rPr>
              <w:t>Detección de necesidades</w:t>
            </w:r>
            <w:r w:rsidR="009B0967"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de posgrado</w:t>
            </w:r>
          </w:p>
        </w:tc>
      </w:tr>
      <w:tr w:rsidR="00E23603" w:rsidRPr="002D00DE" w:rsidTr="008F525E">
        <w:tc>
          <w:tcPr>
            <w:tcW w:w="10398" w:type="dxa"/>
            <w:gridSpan w:val="26"/>
            <w:shd w:val="clear" w:color="auto" w:fill="C00000"/>
          </w:tcPr>
          <w:p w:rsidR="00E23603" w:rsidRPr="002D00DE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D00DE" w:rsidTr="0014257E">
        <w:tc>
          <w:tcPr>
            <w:tcW w:w="4680" w:type="dxa"/>
            <w:gridSpan w:val="12"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647733" w:rsidRPr="002D00DE" w:rsidRDefault="0080618D" w:rsidP="005F3FB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647733" w:rsidRPr="002D00DE" w:rsidTr="0014257E">
        <w:trPr>
          <w:trHeight w:val="592"/>
        </w:trPr>
        <w:tc>
          <w:tcPr>
            <w:tcW w:w="4680" w:type="dxa"/>
            <w:gridSpan w:val="12"/>
            <w:shd w:val="clear" w:color="auto" w:fill="auto"/>
          </w:tcPr>
          <w:p w:rsidR="004B2373" w:rsidRPr="002D00DE" w:rsidRDefault="004B2373" w:rsidP="008C79CA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C47499" w:rsidRPr="002D00DE" w:rsidRDefault="00771D83" w:rsidP="008F525E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Porcentaje </w:t>
            </w:r>
            <w:r w:rsidR="00090385" w:rsidRPr="002D00DE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>de</w:t>
            </w:r>
            <w:r w:rsidR="007A064A" w:rsidRPr="002D00DE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3D10" w:rsidRPr="002D00DE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 xml:space="preserve">espacios académicos ocupados </w:t>
            </w:r>
          </w:p>
          <w:p w:rsidR="00A46E08" w:rsidRPr="002D00DE" w:rsidRDefault="00330D8F" w:rsidP="00C47499">
            <w:pPr>
              <w:tabs>
                <w:tab w:val="num" w:pos="0"/>
              </w:tabs>
              <w:ind w:left="83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educación continua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2D00DE" w:rsidRDefault="00E15C64" w:rsidP="002216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No. de indicador 1</w:t>
            </w:r>
            <w:r w:rsidR="00221606" w:rsidRPr="002D00DE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507DF3" w:rsidRPr="002D00DE" w:rsidTr="0014257E">
        <w:tc>
          <w:tcPr>
            <w:tcW w:w="4680" w:type="dxa"/>
            <w:gridSpan w:val="12"/>
            <w:shd w:val="clear" w:color="auto" w:fill="auto"/>
          </w:tcPr>
          <w:p w:rsidR="00507DF3" w:rsidRPr="002D00DE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C16471" w:rsidRPr="002D00DE" w:rsidRDefault="00C16471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2D00DE" w:rsidRDefault="008F10FD" w:rsidP="008F10F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Eficacia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D00DE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:rsidR="00C61807" w:rsidRPr="002D00DE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3671D2" w:rsidRPr="002D00DE" w:rsidRDefault="003671D2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4D7D04" w:rsidRPr="002D00DE" w:rsidRDefault="004D7D04" w:rsidP="001C601E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Denota la proporción de espacios </w:t>
            </w:r>
            <w:r w:rsidR="006844D6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académicos</w:t>
            </w:r>
            <w:r w:rsidR="006844D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disponibles </w:t>
            </w:r>
            <w:r w:rsidR="006844D6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frente a los cubiertos por las instituciones </w:t>
            </w:r>
          </w:p>
          <w:p w:rsidR="000A03B4" w:rsidRPr="002D00DE" w:rsidRDefault="000A03B4" w:rsidP="000A03B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2D00DE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2D00DE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C16471" w:rsidRPr="002D00DE" w:rsidRDefault="00C16471" w:rsidP="00950344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54F43" w:rsidRPr="002D00DE" w:rsidRDefault="00CD342F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sz w:val="20"/>
                <w:szCs w:val="20"/>
              </w:rPr>
              <w:t>N</w:t>
            </w:r>
            <w:r w:rsidR="009255C2" w:rsidRPr="002D00DE">
              <w:rPr>
                <w:rFonts w:ascii="Montserrat" w:hAnsi="Montserrat" w:cs="Arial"/>
                <w:sz w:val="20"/>
                <w:szCs w:val="20"/>
              </w:rPr>
              <w:t>úmero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 de espacios </w:t>
            </w:r>
            <w:r w:rsidR="0002777D" w:rsidRPr="002D00DE">
              <w:rPr>
                <w:rFonts w:ascii="Montserrat" w:hAnsi="Montserrat" w:cs="Arial"/>
                <w:sz w:val="20"/>
                <w:szCs w:val="20"/>
              </w:rPr>
              <w:t xml:space="preserve">educativos 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de posgrado </w:t>
            </w:r>
          </w:p>
          <w:p w:rsidR="00CB0947" w:rsidRDefault="00CD342F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cubiertos </w:t>
            </w:r>
            <w:r w:rsidRPr="007860CF">
              <w:rPr>
                <w:rFonts w:ascii="Montserrat" w:hAnsi="Montserrat" w:cs="Arial"/>
                <w:sz w:val="20"/>
                <w:szCs w:val="20"/>
              </w:rPr>
              <w:t>(</w:t>
            </w:r>
            <w:r w:rsidR="003D0021" w:rsidRPr="007860CF">
              <w:rPr>
                <w:rFonts w:ascii="Montserrat" w:hAnsi="Montserrat" w:cs="Arial"/>
                <w:sz w:val="20"/>
                <w:szCs w:val="20"/>
              </w:rPr>
              <w:t>plazas</w:t>
            </w:r>
            <w:r w:rsidR="003D0021" w:rsidRPr="00FC1EFD">
              <w:rPr>
                <w:rFonts w:ascii="Montserrat" w:hAnsi="Montserrat" w:cs="Arial"/>
                <w:sz w:val="20"/>
                <w:szCs w:val="20"/>
              </w:rPr>
              <w:t>,</w:t>
            </w:r>
            <w:r w:rsidR="003D0021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>becas o matr</w:t>
            </w:r>
            <w:r w:rsidR="002D00DE">
              <w:rPr>
                <w:rFonts w:ascii="Montserrat" w:hAnsi="Montserrat" w:cs="Arial"/>
                <w:sz w:val="20"/>
                <w:szCs w:val="20"/>
              </w:rPr>
              <w:t>í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>cula)</w:t>
            </w:r>
            <w:r w:rsidR="009255C2" w:rsidRPr="002D00D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/ </w:t>
            </w:r>
          </w:p>
          <w:p w:rsidR="00950344" w:rsidRPr="002D00DE" w:rsidRDefault="00CD342F" w:rsidP="00CB0947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sz w:val="20"/>
                <w:szCs w:val="20"/>
              </w:rPr>
              <w:t>N</w:t>
            </w:r>
            <w:r w:rsidR="009255C2" w:rsidRPr="002D00DE">
              <w:rPr>
                <w:rFonts w:ascii="Montserrat" w:hAnsi="Montserrat" w:cs="Arial"/>
                <w:sz w:val="20"/>
                <w:szCs w:val="20"/>
              </w:rPr>
              <w:t>úmero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 de espacios educativos de posgrado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disponibles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en la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institució</w:t>
            </w:r>
            <w:r w:rsidR="002E3FD8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</w:t>
            </w:r>
            <w:r w:rsidR="00281CC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206F22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x</w:t>
            </w:r>
            <w:r w:rsidR="00281CC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206F22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100</w:t>
            </w:r>
          </w:p>
          <w:p w:rsidR="004E69AE" w:rsidRPr="002D00DE" w:rsidRDefault="004E69AE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D00DE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2D00DE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C16471" w:rsidRPr="002D00DE" w:rsidRDefault="00C16471" w:rsidP="0095034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2D00DE" w:rsidRDefault="00814814" w:rsidP="00950344">
            <w:pPr>
              <w:rPr>
                <w:rFonts w:ascii="Montserrat" w:hAnsi="Montserrat" w:cs="Arial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sz w:val="20"/>
                <w:szCs w:val="20"/>
              </w:rPr>
              <w:t>P</w:t>
            </w:r>
            <w:r w:rsidR="00950344" w:rsidRPr="002D00DE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2D00DE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D00DE" w:rsidTr="0014257E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D00DE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CC5FE9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2D00DE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2D00DE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D00DE" w:rsidRDefault="00256A6C" w:rsidP="00CC5FE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240C4" w:rsidRPr="002D00DE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2D00DE" w:rsidTr="008F525E">
        <w:tc>
          <w:tcPr>
            <w:tcW w:w="10398" w:type="dxa"/>
            <w:gridSpan w:val="26"/>
            <w:shd w:val="clear" w:color="auto" w:fill="C00000"/>
          </w:tcPr>
          <w:p w:rsidR="004C04C3" w:rsidRPr="002D00DE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D00DE" w:rsidTr="0014257E">
        <w:tc>
          <w:tcPr>
            <w:tcW w:w="1260" w:type="dxa"/>
            <w:gridSpan w:val="2"/>
            <w:shd w:val="clear" w:color="auto" w:fill="auto"/>
          </w:tcPr>
          <w:p w:rsidR="0053138B" w:rsidRPr="002D00DE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2D00DE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2D00DE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53138B" w:rsidRPr="002D00DE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:rsidR="0053138B" w:rsidRPr="002D00DE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2D00DE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138B" w:rsidRPr="002D00DE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D00DE" w:rsidTr="0014257E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2D00DE" w:rsidRDefault="00A560EE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2D00DE" w:rsidRDefault="00A560EE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2D00DE" w:rsidRDefault="00207D90" w:rsidP="00A560EE">
            <w:pPr>
              <w:tabs>
                <w:tab w:val="num" w:pos="540"/>
              </w:tabs>
              <w:ind w:right="-46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3138B" w:rsidRPr="002D00DE" w:rsidRDefault="0053138B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53138B" w:rsidRPr="002D00DE" w:rsidRDefault="00207D90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2D00DE" w:rsidRDefault="00207D90" w:rsidP="00A560E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3138B" w:rsidRPr="002D00DE" w:rsidRDefault="000A03B4" w:rsidP="000A03B4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2D00DE" w:rsidTr="0014257E">
        <w:tc>
          <w:tcPr>
            <w:tcW w:w="10398" w:type="dxa"/>
            <w:gridSpan w:val="26"/>
            <w:shd w:val="clear" w:color="auto" w:fill="auto"/>
          </w:tcPr>
          <w:p w:rsidR="001D25BE" w:rsidRPr="002D00DE" w:rsidRDefault="001D25BE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2D00DE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205923" w:rsidRPr="002D00DE" w:rsidRDefault="00205923" w:rsidP="0028520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>Evalú</w:t>
            </w:r>
            <w:r w:rsidR="002E3FD8" w:rsidRPr="002D00DE">
              <w:rPr>
                <w:rFonts w:ascii="Montserrat" w:hAnsi="Montserrat" w:cs="Arial"/>
                <w:bCs/>
                <w:sz w:val="18"/>
                <w:szCs w:val="18"/>
              </w:rPr>
              <w:t>a el uso pleno de los espacios educativos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disponibles para cumplir con la actividad </w:t>
            </w:r>
            <w:r w:rsidR="002D00DE" w:rsidRPr="002D00DE">
              <w:rPr>
                <w:rFonts w:ascii="Montserrat" w:hAnsi="Montserrat" w:cs="Arial"/>
                <w:bCs/>
                <w:sz w:val="18"/>
                <w:szCs w:val="18"/>
              </w:rPr>
              <w:t>sustantiva</w:t>
            </w:r>
            <w:r w:rsidR="0028520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>institucional</w:t>
            </w: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>Los datos base del in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dicador está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presente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en los sistemas de información institucionales </w:t>
            </w: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205923" w:rsidRPr="002D00DE" w:rsidRDefault="00205923" w:rsidP="0020592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205923" w:rsidRPr="002D00DE" w:rsidRDefault="00205923" w:rsidP="008F525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205923" w:rsidRPr="002D00DE" w:rsidRDefault="00205923" w:rsidP="008F525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 xml:space="preserve">Adecuado: 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El indicador es adecuado, </w:t>
            </w:r>
            <w:r w:rsidR="009B04A9" w:rsidRPr="002D00DE">
              <w:rPr>
                <w:rFonts w:ascii="Montserrat" w:hAnsi="Montserrat" w:cs="Arial"/>
                <w:bCs/>
                <w:sz w:val="18"/>
                <w:szCs w:val="18"/>
              </w:rPr>
              <w:t>evalú</w:t>
            </w:r>
            <w:r w:rsidR="002E3FD8" w:rsidRPr="002D00DE">
              <w:rPr>
                <w:rFonts w:ascii="Montserrat" w:hAnsi="Montserrat" w:cs="Arial"/>
                <w:bCs/>
                <w:sz w:val="18"/>
                <w:szCs w:val="18"/>
              </w:rPr>
              <w:t>a el aprovechamiento de los recursos institucionales en enseñanza</w:t>
            </w:r>
          </w:p>
          <w:p w:rsidR="00205923" w:rsidRPr="002D00DE" w:rsidRDefault="00205923" w:rsidP="008F525E">
            <w:pPr>
              <w:tabs>
                <w:tab w:val="num" w:pos="540"/>
              </w:tabs>
              <w:ind w:right="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255D7" w:rsidRPr="002D00DE" w:rsidRDefault="00205923" w:rsidP="00B92124">
            <w:pPr>
              <w:tabs>
                <w:tab w:val="num" w:pos="540"/>
              </w:tabs>
              <w:ind w:right="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A03B4" w:rsidRPr="002D00DE">
              <w:rPr>
                <w:rFonts w:ascii="Montserrat" w:hAnsi="Montserrat" w:cs="Arial"/>
                <w:bCs/>
                <w:sz w:val="18"/>
                <w:szCs w:val="18"/>
              </w:rPr>
              <w:t>Permite establecer las necesidades de incremento de plazas de residentes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y/o</w:t>
            </w:r>
            <w:r w:rsidR="002F31A0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disponib</w:t>
            </w:r>
            <w:r w:rsidR="007F08CC" w:rsidRPr="002D00DE">
              <w:rPr>
                <w:rFonts w:ascii="Montserrat" w:hAnsi="Montserrat" w:cs="Arial"/>
                <w:bCs/>
                <w:sz w:val="18"/>
                <w:szCs w:val="18"/>
              </w:rPr>
              <w:t>i</w:t>
            </w:r>
            <w:r w:rsidR="002F31A0" w:rsidRPr="002D00DE">
              <w:rPr>
                <w:rFonts w:ascii="Montserrat" w:hAnsi="Montserrat" w:cs="Arial"/>
                <w:bCs/>
                <w:sz w:val="18"/>
                <w:szCs w:val="18"/>
              </w:rPr>
              <w:t>lidad</w:t>
            </w:r>
            <w:r w:rsidR="00B9212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2F31A0" w:rsidRPr="002D00DE">
              <w:rPr>
                <w:rFonts w:ascii="Montserrat" w:hAnsi="Montserrat" w:cs="Arial"/>
                <w:bCs/>
                <w:sz w:val="18"/>
                <w:szCs w:val="18"/>
              </w:rPr>
              <w:t>de</w:t>
            </w:r>
            <w:r w:rsid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2F31A0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espacios educativos no cubiertos para 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para 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estudiantes de posgrado </w:t>
            </w:r>
            <w:r w:rsidR="000A03B4" w:rsidRPr="002D00DE">
              <w:rPr>
                <w:rFonts w:ascii="Montserrat" w:hAnsi="Montserrat" w:cs="Arial"/>
                <w:bCs/>
                <w:sz w:val="18"/>
                <w:szCs w:val="18"/>
              </w:rPr>
              <w:t>de acuerdo a la</w:t>
            </w:r>
            <w:r w:rsidR="00B9212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A03B4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infraestructura 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disponible </w:t>
            </w:r>
            <w:r w:rsidR="002D00DE">
              <w:rPr>
                <w:rFonts w:ascii="Montserrat" w:hAnsi="Montserrat" w:cs="Arial"/>
                <w:bCs/>
                <w:sz w:val="18"/>
                <w:szCs w:val="18"/>
              </w:rPr>
              <w:t>i</w:t>
            </w:r>
            <w:r w:rsidR="00784737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nstitucional que se traduce 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>en campos clínicos disponibles o</w:t>
            </w:r>
            <w:r w:rsidR="00B9212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>matrícula máxima posible de acuerdo a los</w:t>
            </w:r>
            <w:r w:rsid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255D7" w:rsidRPr="002D00DE">
              <w:rPr>
                <w:rFonts w:ascii="Montserrat" w:hAnsi="Montserrat" w:cs="Arial"/>
                <w:bCs/>
                <w:sz w:val="18"/>
                <w:szCs w:val="18"/>
              </w:rPr>
              <w:t>recursos institucionales</w:t>
            </w:r>
            <w:r w:rsidR="0085649C"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 para la enseñanza.</w:t>
            </w:r>
          </w:p>
          <w:p w:rsidR="000A03B4" w:rsidRPr="002D00DE" w:rsidRDefault="000A03B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2D00DE" w:rsidTr="0014257E">
        <w:tc>
          <w:tcPr>
            <w:tcW w:w="10398" w:type="dxa"/>
            <w:gridSpan w:val="26"/>
            <w:shd w:val="clear" w:color="auto" w:fill="auto"/>
          </w:tcPr>
          <w:p w:rsidR="00562A84" w:rsidRPr="002D00DE" w:rsidRDefault="00AA719A" w:rsidP="004041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566E9B" w:rsidRPr="002D00DE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D54FA2" w:rsidRPr="002D00DE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5B1FA0" w:rsidRPr="002D00DE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781ED2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FC1EFD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3254C3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601B77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601B77" w:rsidRPr="00601B77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2D00DE" w:rsidTr="0014257E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1D25BE" w:rsidRPr="002D00DE" w:rsidRDefault="00AA719A" w:rsidP="000A03B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54A07" w:rsidRPr="002D00DE">
              <w:rPr>
                <w:rFonts w:ascii="Montserrat" w:hAnsi="Montserrat" w:cs="Arial"/>
                <w:bCs/>
                <w:sz w:val="20"/>
                <w:szCs w:val="20"/>
              </w:rPr>
              <w:t>CCINSHAE, entidades coordinadas.</w:t>
            </w:r>
          </w:p>
        </w:tc>
      </w:tr>
      <w:tr w:rsidR="00712663" w:rsidRPr="002D00DE" w:rsidTr="008F525E">
        <w:tc>
          <w:tcPr>
            <w:tcW w:w="10398" w:type="dxa"/>
            <w:gridSpan w:val="26"/>
            <w:shd w:val="clear" w:color="auto" w:fill="C00000"/>
          </w:tcPr>
          <w:p w:rsidR="00712663" w:rsidRPr="002D00DE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D00DE" w:rsidTr="001425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70110" w:rsidRPr="002D00DE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2D00DE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270110" w:rsidRPr="002D00DE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E52F85" w:rsidRPr="002D00DE" w:rsidTr="0014257E">
        <w:trPr>
          <w:trHeight w:val="274"/>
        </w:trPr>
        <w:tc>
          <w:tcPr>
            <w:tcW w:w="1042" w:type="dxa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E52F85" w:rsidRPr="002D00DE" w:rsidRDefault="003254C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E52F85"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E52F85" w:rsidRPr="002D00DE" w:rsidRDefault="00E52F85" w:rsidP="00D56EE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E52F85" w:rsidRPr="002D00DE" w:rsidRDefault="00E52F85" w:rsidP="000248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E52F85" w:rsidRPr="002D00DE" w:rsidTr="0014257E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E52F85" w:rsidRPr="002D00DE" w:rsidRDefault="000415F2" w:rsidP="00EC45F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24599C"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96.4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52F85" w:rsidRPr="002D00DE" w:rsidRDefault="007F46F3" w:rsidP="00D56EE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C31E39" w:rsidRPr="002D00DE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E52F85" w:rsidRPr="002D00DE" w:rsidRDefault="00E52F85" w:rsidP="0040415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404152" w:rsidRPr="002D00DE">
              <w:rPr>
                <w:rFonts w:ascii="Montserrat" w:hAnsi="Montserrat" w:cs="Arial"/>
                <w:bCs/>
                <w:sz w:val="20"/>
                <w:szCs w:val="20"/>
              </w:rPr>
              <w:t>Ene</w:t>
            </w:r>
            <w:r w:rsidR="00C31E39" w:rsidRPr="002D00DE">
              <w:rPr>
                <w:rFonts w:ascii="Montserrat" w:hAnsi="Montserrat" w:cs="Arial"/>
                <w:bCs/>
                <w:sz w:val="20"/>
                <w:szCs w:val="20"/>
              </w:rPr>
              <w:t>ro-Diciembre</w:t>
            </w: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E52F85" w:rsidRPr="002D00DE" w:rsidRDefault="00C31E39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 xml:space="preserve">Enero-Diciembre  </w:t>
            </w:r>
          </w:p>
        </w:tc>
      </w:tr>
      <w:tr w:rsidR="00E52F85" w:rsidRPr="002D00DE" w:rsidTr="001425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E52F85" w:rsidRPr="002D00DE" w:rsidRDefault="00E52F85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E52F85" w:rsidRPr="002D00DE" w:rsidTr="002A727E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Rojo</w:t>
            </w:r>
          </w:p>
        </w:tc>
      </w:tr>
      <w:tr w:rsidR="00893036" w:rsidRPr="002D00DE" w:rsidTr="002A727E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036" w:rsidRPr="002D00DE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93036" w:rsidRPr="002D00DE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3036" w:rsidRPr="002D00DE" w:rsidRDefault="0089303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4DFA" w:rsidRPr="002D00DE" w:rsidRDefault="005A4DFA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4DFA" w:rsidRPr="002D00DE" w:rsidRDefault="005A4DFA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5A4DFA" w:rsidRPr="002D00DE" w:rsidRDefault="00893036" w:rsidP="00DA2BA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4DFA" w:rsidRPr="002D00DE" w:rsidRDefault="005A4DFA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893036" w:rsidRPr="002D00DE" w:rsidRDefault="00893036" w:rsidP="0089303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893036" w:rsidRPr="002D00DE" w:rsidRDefault="00893036" w:rsidP="00FC7E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Pr="002D00DE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Pr="002D00DE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E52F85" w:rsidRPr="002D00DE" w:rsidTr="008F525E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E52F85" w:rsidRPr="002D00DE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E52F85" w:rsidRPr="002D00DE" w:rsidTr="0014257E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E52F85" w:rsidRPr="002D00DE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6A3D8B" w:rsidRPr="002D00DE" w:rsidRDefault="006A3D8B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52F85" w:rsidRPr="002D00DE" w:rsidRDefault="00E52F85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6A3D8B" w:rsidRPr="002D00DE" w:rsidRDefault="002E3FD8" w:rsidP="008F525E">
            <w:pPr>
              <w:tabs>
                <w:tab w:val="num" w:pos="83"/>
              </w:tabs>
              <w:ind w:left="83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</w:t>
            </w:r>
            <w:r w:rsidR="003A30A7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úmero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de espacios educativos de posgrado cubiertos (</w:t>
            </w:r>
            <w:r w:rsidR="002D00DE" w:rsidRPr="00F872F7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plazas,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becas o matr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í</w:t>
            </w: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cula)</w:t>
            </w:r>
          </w:p>
          <w:p w:rsidR="006A3D8B" w:rsidRPr="002D00DE" w:rsidRDefault="006A3D8B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</w:p>
          <w:p w:rsidR="00E52F85" w:rsidRPr="002D00DE" w:rsidRDefault="00E52F85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color w:val="000000" w:themeColor="text1"/>
                <w:sz w:val="20"/>
                <w:szCs w:val="20"/>
              </w:rPr>
              <w:t>V2</w:t>
            </w:r>
          </w:p>
          <w:p w:rsidR="00562877" w:rsidRPr="002D00DE" w:rsidRDefault="003A30A7" w:rsidP="008F525E">
            <w:pPr>
              <w:tabs>
                <w:tab w:val="num" w:pos="225"/>
              </w:tabs>
              <w:rPr>
                <w:rFonts w:ascii="Montserrat" w:hAnsi="Montserrat" w:cs="Arial"/>
                <w:b/>
                <w:bCs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Número</w:t>
            </w:r>
            <w:r w:rsidR="002E3FD8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de espacios educativos de posgrado </w:t>
            </w:r>
            <w:r w:rsidR="00A82EB2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disponibles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en la institución</w:t>
            </w:r>
          </w:p>
          <w:p w:rsidR="002E3FD8" w:rsidRPr="002D00DE" w:rsidRDefault="002E3FD8" w:rsidP="008F525E">
            <w:pPr>
              <w:tabs>
                <w:tab w:val="num" w:pos="225"/>
              </w:tabs>
              <w:rPr>
                <w:rFonts w:ascii="Montserrat" w:hAnsi="Montserrat" w:cs="Arial"/>
                <w:b/>
                <w:bCs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62877" w:rsidRPr="002D00DE" w:rsidRDefault="00562877" w:rsidP="006A3D8B">
            <w:pPr>
              <w:tabs>
                <w:tab w:val="num" w:pos="225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C16471" w:rsidRPr="002D00DE" w:rsidRDefault="00C16471" w:rsidP="00C1647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671D2" w:rsidRPr="002D00DE" w:rsidRDefault="003A30A7" w:rsidP="00C41A7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Número 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de plazas de médicos residentes ocupadas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, becas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o matr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í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cula de posgrado no clínico ocupada</w:t>
            </w:r>
          </w:p>
          <w:p w:rsidR="003671D2" w:rsidRPr="002D00DE" w:rsidRDefault="003671D2" w:rsidP="00C41A7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:rsidR="003671D2" w:rsidRPr="002D00DE" w:rsidRDefault="003A30A7" w:rsidP="00C41A7B">
            <w:pPr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Número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de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espacios académicos disponibles para la formación de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médicos </w:t>
            </w:r>
            <w:r w:rsidR="00960925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especialistas y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matr</w:t>
            </w:r>
            <w:r w:rsid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í</w:t>
            </w:r>
            <w:r w:rsidR="00875106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cula de posgrado disponible</w:t>
            </w:r>
            <w:r w:rsidR="00C41A7B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  <w:r w:rsidR="007B44DC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</w:t>
            </w:r>
            <w:r w:rsidR="00095184" w:rsidRPr="002D00D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 acuerdo a la infraestructura y recursos institucionales</w:t>
            </w:r>
          </w:p>
          <w:p w:rsidR="006A3D8B" w:rsidRPr="002D00DE" w:rsidRDefault="006A3D8B" w:rsidP="00C1647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52F85" w:rsidRPr="002D00DE" w:rsidTr="0014257E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E52F85" w:rsidRPr="002D00DE" w:rsidRDefault="00E52F8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62680A" w:rsidRPr="002D00DE" w:rsidTr="0014257E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62680A" w:rsidRPr="008F525E" w:rsidRDefault="0062680A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45385C" w:rsidRPr="004E4A11" w:rsidRDefault="001925EF" w:rsidP="008F525E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8978D4"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45385C"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660890"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60485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E010, </w:t>
            </w:r>
            <w:r w:rsidR="0060485D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01B77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4E4A11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3671D2" w:rsidRPr="008F525E" w:rsidRDefault="0045385C" w:rsidP="008F525E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 xml:space="preserve">Porcentaje de </w:t>
            </w:r>
            <w:r w:rsidR="00660890" w:rsidRPr="008F525E">
              <w:rPr>
                <w:rFonts w:ascii="Montserrat" w:hAnsi="Montserrat" w:cs="Arial"/>
                <w:bCs/>
                <w:sz w:val="20"/>
                <w:szCs w:val="20"/>
              </w:rPr>
              <w:t>espacios académicos ocupados</w:t>
            </w:r>
          </w:p>
          <w:p w:rsidR="000A5A60" w:rsidRPr="008F525E" w:rsidRDefault="008978D4" w:rsidP="008F525E">
            <w:pPr>
              <w:tabs>
                <w:tab w:val="num" w:pos="0"/>
              </w:tabs>
              <w:rPr>
                <w:rFonts w:ascii="Montserrat" w:hAnsi="Montserrat" w:cs="Arial"/>
                <w:bCs/>
                <w:i/>
                <w:sz w:val="16"/>
                <w:szCs w:val="16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37551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37551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espacios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_acad</w:t>
            </w:r>
            <w:r w:rsidR="00B124FA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micos_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ocupados</w:t>
            </w:r>
          </w:p>
          <w:p w:rsidR="008978D4" w:rsidRPr="008F525E" w:rsidRDefault="008978D4" w:rsidP="008F525E">
            <w:pPr>
              <w:tabs>
                <w:tab w:val="num" w:pos="0"/>
              </w:tabs>
              <w:rPr>
                <w:rFonts w:ascii="Montserrat" w:hAnsi="Montserrat" w:cs="Arial"/>
                <w:bCs/>
                <w:sz w:val="16"/>
                <w:szCs w:val="16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8F525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Lic. Raymundo Reyes Mendieta</w:t>
            </w:r>
          </w:p>
          <w:p w:rsidR="008978D4" w:rsidRPr="008F525E" w:rsidRDefault="008978D4" w:rsidP="008F525E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8F525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62680A" w:rsidRPr="002D00DE" w:rsidRDefault="0062680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62680A" w:rsidRPr="002D00DE" w:rsidRDefault="0062680A" w:rsidP="00E503D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2680A" w:rsidRPr="002D00DE" w:rsidRDefault="00E76E32" w:rsidP="00A54A0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Alumno de posgrado</w:t>
            </w:r>
          </w:p>
          <w:p w:rsidR="003671D2" w:rsidRPr="002D00DE" w:rsidRDefault="003671D2" w:rsidP="00A54A0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660890" w:rsidRPr="002D00DE" w:rsidTr="0014257E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660890" w:rsidRPr="008F525E" w:rsidRDefault="00660890" w:rsidP="008F525E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60890" w:rsidRPr="004E4A11" w:rsidRDefault="001925EF" w:rsidP="008F525E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8978D4"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4E4A11">
              <w:rPr>
                <w:rFonts w:ascii="Montserrat" w:hAnsi="Montserrat" w:cs="Arial"/>
                <w:b/>
                <w:bCs/>
                <w:sz w:val="18"/>
                <w:szCs w:val="18"/>
              </w:rPr>
              <w:t>Informe de Desempeño MIR</w:t>
            </w:r>
            <w:r w:rsidR="0060485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E010, </w:t>
            </w:r>
            <w:r w:rsidR="0060485D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601B77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4E4A11" w:rsidRPr="0060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660890" w:rsidRPr="008F525E" w:rsidRDefault="00660890" w:rsidP="008F525E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>Porcentaje de espacios académicos ocupados</w:t>
            </w:r>
          </w:p>
          <w:p w:rsidR="000A5A60" w:rsidRPr="008F525E" w:rsidRDefault="008978D4" w:rsidP="008F525E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F15A5D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F15A5D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/Porcentaje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espacios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_acad</w:t>
            </w:r>
            <w:r w:rsidR="00B124FA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617365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micos_</w:t>
            </w:r>
            <w:r w:rsidR="000A5A60" w:rsidRPr="008F525E">
              <w:rPr>
                <w:rFonts w:ascii="Montserrat" w:hAnsi="Montserrat" w:cs="Arial"/>
                <w:bCs/>
                <w:i/>
                <w:sz w:val="16"/>
                <w:szCs w:val="16"/>
              </w:rPr>
              <w:t>ocupados</w:t>
            </w:r>
          </w:p>
          <w:p w:rsidR="008978D4" w:rsidRPr="008F525E" w:rsidRDefault="008978D4" w:rsidP="008F525E">
            <w:pPr>
              <w:tabs>
                <w:tab w:val="num" w:pos="0"/>
              </w:tabs>
              <w:rPr>
                <w:rFonts w:ascii="Montserrat" w:hAnsi="Montserrat" w:cs="Arial"/>
                <w:bCs/>
                <w:sz w:val="16"/>
                <w:szCs w:val="16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8F525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Lic. Raymundo Reyes Mendieta</w:t>
            </w:r>
          </w:p>
          <w:p w:rsidR="008978D4" w:rsidRPr="008F525E" w:rsidRDefault="008978D4" w:rsidP="008F525E">
            <w:pPr>
              <w:tabs>
                <w:tab w:val="num" w:pos="0"/>
              </w:tabs>
              <w:ind w:left="83" w:hanging="8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25E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8F525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0415F2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60" w:type="dxa"/>
            <w:vMerge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Alumno de posgrado</w:t>
            </w:r>
          </w:p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660890" w:rsidRPr="002D00DE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660890" w:rsidRPr="002D00DE" w:rsidTr="0014257E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660890" w:rsidRPr="002D00DE" w:rsidRDefault="00660890" w:rsidP="00821B8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="004659BF" w:rsidRPr="00821B8D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821B8D" w:rsidRPr="00821B8D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  <w:highlight w:val="cyan"/>
              </w:rPr>
              <w:t>4</w:t>
            </w:r>
            <w:r w:rsidR="004659BF" w:rsidRPr="002D00D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2D00DE">
              <w:rPr>
                <w:rFonts w:ascii="Montserrat" w:hAnsi="Montserrat" w:cs="Arial"/>
                <w:sz w:val="20"/>
                <w:szCs w:val="20"/>
              </w:rPr>
              <w:t xml:space="preserve">(Definitivo)                     </w:t>
            </w:r>
          </w:p>
        </w:tc>
      </w:tr>
      <w:tr w:rsidR="00660890" w:rsidRPr="002D00DE" w:rsidTr="008F525E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</w:t>
            </w:r>
            <w:bookmarkStart w:id="0" w:name="_GoBack"/>
            <w:bookmarkEnd w:id="0"/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les</w:t>
            </w:r>
          </w:p>
        </w:tc>
      </w:tr>
      <w:tr w:rsidR="00660890" w:rsidRPr="002D00DE" w:rsidTr="000A5A60">
        <w:trPr>
          <w:trHeight w:val="400"/>
        </w:trPr>
        <w:tc>
          <w:tcPr>
            <w:tcW w:w="3480" w:type="dxa"/>
            <w:gridSpan w:val="7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660890" w:rsidRPr="002D00DE" w:rsidTr="00DA2BA3">
        <w:trPr>
          <w:trHeight w:val="204"/>
        </w:trPr>
        <w:tc>
          <w:tcPr>
            <w:tcW w:w="3480" w:type="dxa"/>
            <w:gridSpan w:val="7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8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60890" w:rsidRPr="002D00DE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660890" w:rsidRPr="002D00DE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660890" w:rsidRPr="002D00DE" w:rsidRDefault="00660890" w:rsidP="0066089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60890" w:rsidRPr="002D00DE" w:rsidTr="008F525E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:rsidR="00660890" w:rsidRPr="002D00DE" w:rsidRDefault="00660890" w:rsidP="008F525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D00DE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660890" w:rsidRPr="002D00DE" w:rsidTr="0014257E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:rsidR="00660890" w:rsidRPr="002D00DE" w:rsidRDefault="00660890" w:rsidP="00660890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60890" w:rsidRDefault="00660890" w:rsidP="008F525E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25E">
              <w:rPr>
                <w:rFonts w:ascii="Montserrat" w:hAnsi="Montserrat" w:cs="Arial"/>
                <w:b/>
                <w:bCs/>
                <w:sz w:val="20"/>
                <w:szCs w:val="20"/>
              </w:rPr>
              <w:t>Espacio</w:t>
            </w:r>
            <w:r w:rsidR="007E3047">
              <w:rPr>
                <w:rFonts w:ascii="Montserrat" w:hAnsi="Montserrat" w:cs="Arial"/>
                <w:b/>
                <w:bCs/>
                <w:sz w:val="20"/>
                <w:szCs w:val="20"/>
              </w:rPr>
              <w:t>s</w:t>
            </w:r>
            <w:r w:rsidRPr="008F525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844D6">
              <w:rPr>
                <w:rFonts w:ascii="Montserrat" w:hAnsi="Montserrat" w:cs="Arial"/>
                <w:b/>
                <w:bCs/>
                <w:sz w:val="20"/>
                <w:szCs w:val="20"/>
              </w:rPr>
              <w:t>académico</w:t>
            </w:r>
            <w:r w:rsidR="007E3047">
              <w:rPr>
                <w:rFonts w:ascii="Montserrat" w:hAnsi="Montserrat" w:cs="Arial"/>
                <w:b/>
                <w:bCs/>
                <w:sz w:val="20"/>
                <w:szCs w:val="20"/>
              </w:rPr>
              <w:t>s</w:t>
            </w:r>
            <w:r w:rsidR="006844D6" w:rsidRPr="008F525E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>se refiere a</w:t>
            </w:r>
            <w:r w:rsidR="006844D6">
              <w:rPr>
                <w:rFonts w:ascii="Montserrat" w:hAnsi="Montserrat" w:cs="Arial"/>
                <w:bCs/>
                <w:sz w:val="20"/>
                <w:szCs w:val="20"/>
              </w:rPr>
              <w:t xml:space="preserve">l número de </w:t>
            </w:r>
            <w:r w:rsidR="004659BF" w:rsidRPr="008F525E">
              <w:rPr>
                <w:rFonts w:ascii="Montserrat" w:hAnsi="Montserrat" w:cs="Arial"/>
                <w:bCs/>
                <w:sz w:val="20"/>
                <w:szCs w:val="20"/>
              </w:rPr>
              <w:t xml:space="preserve">becas y </w:t>
            </w:r>
            <w:r w:rsidR="006844D6">
              <w:rPr>
                <w:rFonts w:ascii="Montserrat" w:hAnsi="Montserrat" w:cs="Arial"/>
                <w:bCs/>
                <w:sz w:val="20"/>
                <w:szCs w:val="20"/>
              </w:rPr>
              <w:t xml:space="preserve">a </w:t>
            </w: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>la matr</w:t>
            </w:r>
            <w:r w:rsidR="004659BF" w:rsidRPr="008F525E">
              <w:rPr>
                <w:rFonts w:ascii="Montserrat" w:hAnsi="Montserrat" w:cs="Arial"/>
                <w:bCs/>
                <w:sz w:val="20"/>
                <w:szCs w:val="20"/>
              </w:rPr>
              <w:t>í</w:t>
            </w: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 xml:space="preserve">cula autorizada </w:t>
            </w:r>
            <w:r w:rsidR="00B13F1C" w:rsidRPr="008F525E">
              <w:rPr>
                <w:rFonts w:ascii="Montserrat" w:hAnsi="Montserrat" w:cs="Arial"/>
                <w:bCs/>
                <w:sz w:val="20"/>
                <w:szCs w:val="20"/>
              </w:rPr>
              <w:t xml:space="preserve">para </w:t>
            </w:r>
            <w:r w:rsidRPr="008F525E">
              <w:rPr>
                <w:rFonts w:ascii="Montserrat" w:hAnsi="Montserrat" w:cs="Arial"/>
                <w:bCs/>
                <w:sz w:val="20"/>
                <w:szCs w:val="20"/>
              </w:rPr>
              <w:t>los cursos de posgrado.</w:t>
            </w:r>
          </w:p>
          <w:p w:rsidR="00DA2BA3" w:rsidRPr="002D00DE" w:rsidRDefault="00DA2BA3" w:rsidP="00387317">
            <w:pPr>
              <w:pStyle w:val="Prrafodelista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2D00DE" w:rsidRDefault="00E92259" w:rsidP="004E399E">
      <w:pPr>
        <w:rPr>
          <w:rFonts w:ascii="Montserrat" w:hAnsi="Montserrat"/>
        </w:rPr>
      </w:pPr>
    </w:p>
    <w:sectPr w:rsidR="00E92259" w:rsidRPr="002D00DE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575FC"/>
    <w:multiLevelType w:val="hybridMultilevel"/>
    <w:tmpl w:val="F544DF28"/>
    <w:lvl w:ilvl="0" w:tplc="E0B62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FE4"/>
    <w:rsid w:val="00014114"/>
    <w:rsid w:val="00014DFC"/>
    <w:rsid w:val="00017C5F"/>
    <w:rsid w:val="0002007E"/>
    <w:rsid w:val="0002143B"/>
    <w:rsid w:val="00022EAD"/>
    <w:rsid w:val="00024828"/>
    <w:rsid w:val="000252D8"/>
    <w:rsid w:val="0002557E"/>
    <w:rsid w:val="0002777D"/>
    <w:rsid w:val="000279B2"/>
    <w:rsid w:val="00027E79"/>
    <w:rsid w:val="000372AE"/>
    <w:rsid w:val="000408FC"/>
    <w:rsid w:val="000415F2"/>
    <w:rsid w:val="00045EEE"/>
    <w:rsid w:val="00051E36"/>
    <w:rsid w:val="000529C9"/>
    <w:rsid w:val="00056194"/>
    <w:rsid w:val="00061691"/>
    <w:rsid w:val="00065B24"/>
    <w:rsid w:val="00071C95"/>
    <w:rsid w:val="0007663E"/>
    <w:rsid w:val="00076C42"/>
    <w:rsid w:val="00082BE4"/>
    <w:rsid w:val="00083114"/>
    <w:rsid w:val="00084155"/>
    <w:rsid w:val="00086F89"/>
    <w:rsid w:val="00090385"/>
    <w:rsid w:val="000950E6"/>
    <w:rsid w:val="00095184"/>
    <w:rsid w:val="000A03B4"/>
    <w:rsid w:val="000A24E1"/>
    <w:rsid w:val="000A2993"/>
    <w:rsid w:val="000A5A60"/>
    <w:rsid w:val="000B009A"/>
    <w:rsid w:val="000B3FD2"/>
    <w:rsid w:val="000B4337"/>
    <w:rsid w:val="000D3ED4"/>
    <w:rsid w:val="000D4D17"/>
    <w:rsid w:val="000D7076"/>
    <w:rsid w:val="000E3C00"/>
    <w:rsid w:val="000E3CC9"/>
    <w:rsid w:val="000E63D2"/>
    <w:rsid w:val="000E7ADE"/>
    <w:rsid w:val="000F55CE"/>
    <w:rsid w:val="000F7887"/>
    <w:rsid w:val="00100AE9"/>
    <w:rsid w:val="0010187F"/>
    <w:rsid w:val="00111673"/>
    <w:rsid w:val="00111695"/>
    <w:rsid w:val="001124C2"/>
    <w:rsid w:val="00113F67"/>
    <w:rsid w:val="00125E79"/>
    <w:rsid w:val="0012611A"/>
    <w:rsid w:val="00134A05"/>
    <w:rsid w:val="00134A3D"/>
    <w:rsid w:val="0014257E"/>
    <w:rsid w:val="001540A6"/>
    <w:rsid w:val="001649D5"/>
    <w:rsid w:val="001651B7"/>
    <w:rsid w:val="00171218"/>
    <w:rsid w:val="00171537"/>
    <w:rsid w:val="00173BAC"/>
    <w:rsid w:val="001750ED"/>
    <w:rsid w:val="00177917"/>
    <w:rsid w:val="00181BDE"/>
    <w:rsid w:val="001925EF"/>
    <w:rsid w:val="00195C21"/>
    <w:rsid w:val="00197F57"/>
    <w:rsid w:val="001A18C7"/>
    <w:rsid w:val="001A5857"/>
    <w:rsid w:val="001B02A6"/>
    <w:rsid w:val="001B02EE"/>
    <w:rsid w:val="001B4CA9"/>
    <w:rsid w:val="001C2315"/>
    <w:rsid w:val="001C4AB2"/>
    <w:rsid w:val="001C601E"/>
    <w:rsid w:val="001D103F"/>
    <w:rsid w:val="001D1B0E"/>
    <w:rsid w:val="001D1E93"/>
    <w:rsid w:val="001D25BE"/>
    <w:rsid w:val="001D42E4"/>
    <w:rsid w:val="001D5BB3"/>
    <w:rsid w:val="001D73C0"/>
    <w:rsid w:val="001E0819"/>
    <w:rsid w:val="001E2022"/>
    <w:rsid w:val="001E29D2"/>
    <w:rsid w:val="001F72A4"/>
    <w:rsid w:val="0020143D"/>
    <w:rsid w:val="00202028"/>
    <w:rsid w:val="00205923"/>
    <w:rsid w:val="002064A0"/>
    <w:rsid w:val="00206F22"/>
    <w:rsid w:val="00207D90"/>
    <w:rsid w:val="00213FFC"/>
    <w:rsid w:val="00215E4E"/>
    <w:rsid w:val="002173FA"/>
    <w:rsid w:val="00221606"/>
    <w:rsid w:val="00221EB1"/>
    <w:rsid w:val="002257AD"/>
    <w:rsid w:val="002273E7"/>
    <w:rsid w:val="00227A93"/>
    <w:rsid w:val="00230DFF"/>
    <w:rsid w:val="00231092"/>
    <w:rsid w:val="00232F6F"/>
    <w:rsid w:val="00236244"/>
    <w:rsid w:val="00241EBA"/>
    <w:rsid w:val="002421BF"/>
    <w:rsid w:val="00243286"/>
    <w:rsid w:val="00245276"/>
    <w:rsid w:val="0024599C"/>
    <w:rsid w:val="00247038"/>
    <w:rsid w:val="00253826"/>
    <w:rsid w:val="00254C23"/>
    <w:rsid w:val="00256A6C"/>
    <w:rsid w:val="002608C1"/>
    <w:rsid w:val="00264DD5"/>
    <w:rsid w:val="00266A7C"/>
    <w:rsid w:val="00270110"/>
    <w:rsid w:val="00272E74"/>
    <w:rsid w:val="0027386C"/>
    <w:rsid w:val="002763B1"/>
    <w:rsid w:val="00277C0B"/>
    <w:rsid w:val="0028088C"/>
    <w:rsid w:val="00281CC6"/>
    <w:rsid w:val="00284C01"/>
    <w:rsid w:val="00285202"/>
    <w:rsid w:val="00290AFC"/>
    <w:rsid w:val="002A04BD"/>
    <w:rsid w:val="002A152C"/>
    <w:rsid w:val="002A4E9F"/>
    <w:rsid w:val="002A6B43"/>
    <w:rsid w:val="002A727E"/>
    <w:rsid w:val="002B1767"/>
    <w:rsid w:val="002B5933"/>
    <w:rsid w:val="002C102A"/>
    <w:rsid w:val="002C73C5"/>
    <w:rsid w:val="002D00DE"/>
    <w:rsid w:val="002E0C63"/>
    <w:rsid w:val="002E24CF"/>
    <w:rsid w:val="002E3FD8"/>
    <w:rsid w:val="002E5808"/>
    <w:rsid w:val="002E5CAC"/>
    <w:rsid w:val="002E70D2"/>
    <w:rsid w:val="002F0596"/>
    <w:rsid w:val="002F1C19"/>
    <w:rsid w:val="002F31A0"/>
    <w:rsid w:val="002F3E7B"/>
    <w:rsid w:val="002F6204"/>
    <w:rsid w:val="003068AC"/>
    <w:rsid w:val="00310CD4"/>
    <w:rsid w:val="003115CD"/>
    <w:rsid w:val="00311948"/>
    <w:rsid w:val="00311D7C"/>
    <w:rsid w:val="00312203"/>
    <w:rsid w:val="00313F80"/>
    <w:rsid w:val="003151D2"/>
    <w:rsid w:val="00315477"/>
    <w:rsid w:val="0031574C"/>
    <w:rsid w:val="00316DE8"/>
    <w:rsid w:val="003254C3"/>
    <w:rsid w:val="00330D8F"/>
    <w:rsid w:val="003311B3"/>
    <w:rsid w:val="00337FA8"/>
    <w:rsid w:val="003402DA"/>
    <w:rsid w:val="003413B0"/>
    <w:rsid w:val="00344C0E"/>
    <w:rsid w:val="0034543F"/>
    <w:rsid w:val="00345B2D"/>
    <w:rsid w:val="003508D2"/>
    <w:rsid w:val="00353BAB"/>
    <w:rsid w:val="00354C1A"/>
    <w:rsid w:val="00360965"/>
    <w:rsid w:val="0036100E"/>
    <w:rsid w:val="00364109"/>
    <w:rsid w:val="00364483"/>
    <w:rsid w:val="00364946"/>
    <w:rsid w:val="003671D2"/>
    <w:rsid w:val="003677F6"/>
    <w:rsid w:val="00370CD2"/>
    <w:rsid w:val="00375194"/>
    <w:rsid w:val="00375515"/>
    <w:rsid w:val="00376850"/>
    <w:rsid w:val="00377CFE"/>
    <w:rsid w:val="003809B8"/>
    <w:rsid w:val="0038156C"/>
    <w:rsid w:val="003830CD"/>
    <w:rsid w:val="00383B5E"/>
    <w:rsid w:val="00384C8A"/>
    <w:rsid w:val="00387317"/>
    <w:rsid w:val="00392A7D"/>
    <w:rsid w:val="00397B74"/>
    <w:rsid w:val="003A30A7"/>
    <w:rsid w:val="003A3330"/>
    <w:rsid w:val="003A33C5"/>
    <w:rsid w:val="003B04A2"/>
    <w:rsid w:val="003B1FF8"/>
    <w:rsid w:val="003B20BE"/>
    <w:rsid w:val="003B2AFA"/>
    <w:rsid w:val="003B3EBE"/>
    <w:rsid w:val="003B3F6C"/>
    <w:rsid w:val="003B684C"/>
    <w:rsid w:val="003B70EC"/>
    <w:rsid w:val="003B7B79"/>
    <w:rsid w:val="003C0E2B"/>
    <w:rsid w:val="003C13CA"/>
    <w:rsid w:val="003C2D75"/>
    <w:rsid w:val="003C4381"/>
    <w:rsid w:val="003C5519"/>
    <w:rsid w:val="003D0021"/>
    <w:rsid w:val="003D1508"/>
    <w:rsid w:val="003D7E92"/>
    <w:rsid w:val="003E4DA6"/>
    <w:rsid w:val="003E5367"/>
    <w:rsid w:val="003E553B"/>
    <w:rsid w:val="003E60DF"/>
    <w:rsid w:val="003F0176"/>
    <w:rsid w:val="003F0F57"/>
    <w:rsid w:val="003F61F4"/>
    <w:rsid w:val="003F7343"/>
    <w:rsid w:val="00404152"/>
    <w:rsid w:val="004069EA"/>
    <w:rsid w:val="00407A18"/>
    <w:rsid w:val="00407C34"/>
    <w:rsid w:val="00414CDE"/>
    <w:rsid w:val="00415522"/>
    <w:rsid w:val="004216B0"/>
    <w:rsid w:val="00422CF6"/>
    <w:rsid w:val="0042356D"/>
    <w:rsid w:val="00425B45"/>
    <w:rsid w:val="0042704F"/>
    <w:rsid w:val="0042747C"/>
    <w:rsid w:val="00427840"/>
    <w:rsid w:val="00431C5F"/>
    <w:rsid w:val="00432774"/>
    <w:rsid w:val="00433007"/>
    <w:rsid w:val="00433EA6"/>
    <w:rsid w:val="004365B3"/>
    <w:rsid w:val="00436778"/>
    <w:rsid w:val="00437095"/>
    <w:rsid w:val="004379AC"/>
    <w:rsid w:val="004420AD"/>
    <w:rsid w:val="004478B6"/>
    <w:rsid w:val="00451444"/>
    <w:rsid w:val="0045385C"/>
    <w:rsid w:val="0045632E"/>
    <w:rsid w:val="00461577"/>
    <w:rsid w:val="00463930"/>
    <w:rsid w:val="004659BF"/>
    <w:rsid w:val="00467CBF"/>
    <w:rsid w:val="00472978"/>
    <w:rsid w:val="0047580B"/>
    <w:rsid w:val="00477FDB"/>
    <w:rsid w:val="004819FB"/>
    <w:rsid w:val="00481CEE"/>
    <w:rsid w:val="00485E51"/>
    <w:rsid w:val="0048708D"/>
    <w:rsid w:val="0049576C"/>
    <w:rsid w:val="00495ADD"/>
    <w:rsid w:val="00497FB0"/>
    <w:rsid w:val="004A5508"/>
    <w:rsid w:val="004A573E"/>
    <w:rsid w:val="004A6667"/>
    <w:rsid w:val="004B1AE3"/>
    <w:rsid w:val="004B2373"/>
    <w:rsid w:val="004B3B83"/>
    <w:rsid w:val="004B7F66"/>
    <w:rsid w:val="004C04C3"/>
    <w:rsid w:val="004C1D83"/>
    <w:rsid w:val="004C1FF5"/>
    <w:rsid w:val="004C3A4B"/>
    <w:rsid w:val="004C5813"/>
    <w:rsid w:val="004C60FD"/>
    <w:rsid w:val="004D5636"/>
    <w:rsid w:val="004D57B0"/>
    <w:rsid w:val="004D7B26"/>
    <w:rsid w:val="004D7D04"/>
    <w:rsid w:val="004E184C"/>
    <w:rsid w:val="004E399E"/>
    <w:rsid w:val="004E4A11"/>
    <w:rsid w:val="004E5B50"/>
    <w:rsid w:val="004E69AE"/>
    <w:rsid w:val="004F3384"/>
    <w:rsid w:val="004F3F9F"/>
    <w:rsid w:val="0050580F"/>
    <w:rsid w:val="00507431"/>
    <w:rsid w:val="00507DF3"/>
    <w:rsid w:val="00512B1E"/>
    <w:rsid w:val="00520FB8"/>
    <w:rsid w:val="0052195B"/>
    <w:rsid w:val="0053138B"/>
    <w:rsid w:val="005339AF"/>
    <w:rsid w:val="00533BC4"/>
    <w:rsid w:val="00534445"/>
    <w:rsid w:val="00535617"/>
    <w:rsid w:val="005411EB"/>
    <w:rsid w:val="00541E9A"/>
    <w:rsid w:val="00542B83"/>
    <w:rsid w:val="005431FF"/>
    <w:rsid w:val="00543204"/>
    <w:rsid w:val="00552675"/>
    <w:rsid w:val="00555376"/>
    <w:rsid w:val="00555F07"/>
    <w:rsid w:val="005622EA"/>
    <w:rsid w:val="00562877"/>
    <w:rsid w:val="00562A84"/>
    <w:rsid w:val="00566E9B"/>
    <w:rsid w:val="00571F91"/>
    <w:rsid w:val="005757ED"/>
    <w:rsid w:val="0058105F"/>
    <w:rsid w:val="005837BE"/>
    <w:rsid w:val="00584B30"/>
    <w:rsid w:val="00590FAF"/>
    <w:rsid w:val="005910EE"/>
    <w:rsid w:val="005922B9"/>
    <w:rsid w:val="00592DBD"/>
    <w:rsid w:val="00593811"/>
    <w:rsid w:val="005944CA"/>
    <w:rsid w:val="005A0C10"/>
    <w:rsid w:val="005A0F68"/>
    <w:rsid w:val="005A32B5"/>
    <w:rsid w:val="005A4DFA"/>
    <w:rsid w:val="005A4F4C"/>
    <w:rsid w:val="005A766E"/>
    <w:rsid w:val="005B07C8"/>
    <w:rsid w:val="005B15DD"/>
    <w:rsid w:val="005B1FA0"/>
    <w:rsid w:val="005B2796"/>
    <w:rsid w:val="005B2BC6"/>
    <w:rsid w:val="005B5266"/>
    <w:rsid w:val="005B6175"/>
    <w:rsid w:val="005B6EB7"/>
    <w:rsid w:val="005B7DE8"/>
    <w:rsid w:val="005C0D48"/>
    <w:rsid w:val="005C1437"/>
    <w:rsid w:val="005C4E2A"/>
    <w:rsid w:val="005C6150"/>
    <w:rsid w:val="005C65AB"/>
    <w:rsid w:val="005D1592"/>
    <w:rsid w:val="005D42BD"/>
    <w:rsid w:val="005D5390"/>
    <w:rsid w:val="005D720A"/>
    <w:rsid w:val="005E0882"/>
    <w:rsid w:val="005E1DD1"/>
    <w:rsid w:val="005E3A24"/>
    <w:rsid w:val="005E4A29"/>
    <w:rsid w:val="005E5F1B"/>
    <w:rsid w:val="005E640E"/>
    <w:rsid w:val="005E6741"/>
    <w:rsid w:val="005E6DE5"/>
    <w:rsid w:val="005F0C81"/>
    <w:rsid w:val="005F3D10"/>
    <w:rsid w:val="005F3EB0"/>
    <w:rsid w:val="005F3FBA"/>
    <w:rsid w:val="006017CA"/>
    <w:rsid w:val="00601B77"/>
    <w:rsid w:val="0060485D"/>
    <w:rsid w:val="00605E7F"/>
    <w:rsid w:val="0060788C"/>
    <w:rsid w:val="006109E5"/>
    <w:rsid w:val="006115E2"/>
    <w:rsid w:val="00611915"/>
    <w:rsid w:val="00612013"/>
    <w:rsid w:val="0061562D"/>
    <w:rsid w:val="00615E49"/>
    <w:rsid w:val="006168D1"/>
    <w:rsid w:val="00616EB6"/>
    <w:rsid w:val="00617365"/>
    <w:rsid w:val="00617A54"/>
    <w:rsid w:val="00622A93"/>
    <w:rsid w:val="0062536F"/>
    <w:rsid w:val="0062680A"/>
    <w:rsid w:val="00640460"/>
    <w:rsid w:val="00641320"/>
    <w:rsid w:val="00641A9F"/>
    <w:rsid w:val="0064470B"/>
    <w:rsid w:val="006460DF"/>
    <w:rsid w:val="006475E3"/>
    <w:rsid w:val="00647733"/>
    <w:rsid w:val="00647B16"/>
    <w:rsid w:val="00647C4D"/>
    <w:rsid w:val="0065310F"/>
    <w:rsid w:val="006552FC"/>
    <w:rsid w:val="00660890"/>
    <w:rsid w:val="006701D7"/>
    <w:rsid w:val="0067504F"/>
    <w:rsid w:val="0067711F"/>
    <w:rsid w:val="006817A5"/>
    <w:rsid w:val="006825C3"/>
    <w:rsid w:val="006844D6"/>
    <w:rsid w:val="006858D5"/>
    <w:rsid w:val="00693743"/>
    <w:rsid w:val="0069392E"/>
    <w:rsid w:val="006942E2"/>
    <w:rsid w:val="006962E7"/>
    <w:rsid w:val="006A0E83"/>
    <w:rsid w:val="006A2596"/>
    <w:rsid w:val="006A32EF"/>
    <w:rsid w:val="006A3587"/>
    <w:rsid w:val="006A3D8B"/>
    <w:rsid w:val="006A65AE"/>
    <w:rsid w:val="006A6794"/>
    <w:rsid w:val="006A7367"/>
    <w:rsid w:val="006A77C7"/>
    <w:rsid w:val="006B09E2"/>
    <w:rsid w:val="006B199F"/>
    <w:rsid w:val="006B2085"/>
    <w:rsid w:val="006B2F5F"/>
    <w:rsid w:val="006C075C"/>
    <w:rsid w:val="006C4FCA"/>
    <w:rsid w:val="006C502E"/>
    <w:rsid w:val="006C5997"/>
    <w:rsid w:val="006C5B13"/>
    <w:rsid w:val="006C5D67"/>
    <w:rsid w:val="006C5F16"/>
    <w:rsid w:val="006C6008"/>
    <w:rsid w:val="006D0643"/>
    <w:rsid w:val="006D3FE2"/>
    <w:rsid w:val="006E023E"/>
    <w:rsid w:val="006E74AD"/>
    <w:rsid w:val="006F3A09"/>
    <w:rsid w:val="006F4D93"/>
    <w:rsid w:val="006F6DCE"/>
    <w:rsid w:val="006F7E12"/>
    <w:rsid w:val="00706E8C"/>
    <w:rsid w:val="00712663"/>
    <w:rsid w:val="00720F07"/>
    <w:rsid w:val="007251BC"/>
    <w:rsid w:val="00727F61"/>
    <w:rsid w:val="00731331"/>
    <w:rsid w:val="00732E7D"/>
    <w:rsid w:val="00742DF7"/>
    <w:rsid w:val="0075046F"/>
    <w:rsid w:val="00753AFF"/>
    <w:rsid w:val="0075454A"/>
    <w:rsid w:val="007559A3"/>
    <w:rsid w:val="00756FE6"/>
    <w:rsid w:val="007576CA"/>
    <w:rsid w:val="00760043"/>
    <w:rsid w:val="00760ADC"/>
    <w:rsid w:val="00763562"/>
    <w:rsid w:val="00771D83"/>
    <w:rsid w:val="00776828"/>
    <w:rsid w:val="00781ED2"/>
    <w:rsid w:val="00782B61"/>
    <w:rsid w:val="00783CE3"/>
    <w:rsid w:val="00784737"/>
    <w:rsid w:val="007860CF"/>
    <w:rsid w:val="007861BC"/>
    <w:rsid w:val="0078719E"/>
    <w:rsid w:val="007933FD"/>
    <w:rsid w:val="00796158"/>
    <w:rsid w:val="00796725"/>
    <w:rsid w:val="007A01B3"/>
    <w:rsid w:val="007A064A"/>
    <w:rsid w:val="007B44DC"/>
    <w:rsid w:val="007B50DC"/>
    <w:rsid w:val="007C13B1"/>
    <w:rsid w:val="007C201C"/>
    <w:rsid w:val="007C6BC1"/>
    <w:rsid w:val="007C7003"/>
    <w:rsid w:val="007D4B99"/>
    <w:rsid w:val="007D4E5E"/>
    <w:rsid w:val="007E3047"/>
    <w:rsid w:val="007E4BAB"/>
    <w:rsid w:val="007E6C2B"/>
    <w:rsid w:val="007F08CC"/>
    <w:rsid w:val="007F46F3"/>
    <w:rsid w:val="007F57CF"/>
    <w:rsid w:val="007F5A60"/>
    <w:rsid w:val="00802BAE"/>
    <w:rsid w:val="0080618D"/>
    <w:rsid w:val="008127E0"/>
    <w:rsid w:val="008145DA"/>
    <w:rsid w:val="00814814"/>
    <w:rsid w:val="0081640E"/>
    <w:rsid w:val="008207C0"/>
    <w:rsid w:val="00821B8D"/>
    <w:rsid w:val="00823181"/>
    <w:rsid w:val="00824C38"/>
    <w:rsid w:val="008270D4"/>
    <w:rsid w:val="008325CB"/>
    <w:rsid w:val="0083600E"/>
    <w:rsid w:val="00840206"/>
    <w:rsid w:val="00841488"/>
    <w:rsid w:val="00845DC8"/>
    <w:rsid w:val="00850158"/>
    <w:rsid w:val="0085068E"/>
    <w:rsid w:val="008507EB"/>
    <w:rsid w:val="0085649C"/>
    <w:rsid w:val="00856763"/>
    <w:rsid w:val="0086140F"/>
    <w:rsid w:val="008614CC"/>
    <w:rsid w:val="00864864"/>
    <w:rsid w:val="00871FFA"/>
    <w:rsid w:val="00874293"/>
    <w:rsid w:val="00875106"/>
    <w:rsid w:val="00876C25"/>
    <w:rsid w:val="00876F0F"/>
    <w:rsid w:val="008774A7"/>
    <w:rsid w:val="008802A5"/>
    <w:rsid w:val="00893036"/>
    <w:rsid w:val="008950FD"/>
    <w:rsid w:val="00896F72"/>
    <w:rsid w:val="008978D4"/>
    <w:rsid w:val="008978F5"/>
    <w:rsid w:val="008A4E1D"/>
    <w:rsid w:val="008A6FAE"/>
    <w:rsid w:val="008B226C"/>
    <w:rsid w:val="008B3AE5"/>
    <w:rsid w:val="008B49E1"/>
    <w:rsid w:val="008B59A1"/>
    <w:rsid w:val="008B68FF"/>
    <w:rsid w:val="008C035C"/>
    <w:rsid w:val="008C2E7B"/>
    <w:rsid w:val="008C5E89"/>
    <w:rsid w:val="008C79CA"/>
    <w:rsid w:val="008D4A4E"/>
    <w:rsid w:val="008E3D1C"/>
    <w:rsid w:val="008E5635"/>
    <w:rsid w:val="008E5708"/>
    <w:rsid w:val="008E5A0B"/>
    <w:rsid w:val="008F00EE"/>
    <w:rsid w:val="008F10FD"/>
    <w:rsid w:val="008F36FB"/>
    <w:rsid w:val="008F3947"/>
    <w:rsid w:val="008F525E"/>
    <w:rsid w:val="008F5FDF"/>
    <w:rsid w:val="00901021"/>
    <w:rsid w:val="009023A5"/>
    <w:rsid w:val="0090351D"/>
    <w:rsid w:val="009100B8"/>
    <w:rsid w:val="00911057"/>
    <w:rsid w:val="009121DB"/>
    <w:rsid w:val="009255C2"/>
    <w:rsid w:val="0092750D"/>
    <w:rsid w:val="00930D59"/>
    <w:rsid w:val="009323A0"/>
    <w:rsid w:val="00935FBB"/>
    <w:rsid w:val="0093624C"/>
    <w:rsid w:val="00936511"/>
    <w:rsid w:val="009436C7"/>
    <w:rsid w:val="009441CA"/>
    <w:rsid w:val="00947ADF"/>
    <w:rsid w:val="00950344"/>
    <w:rsid w:val="009534A5"/>
    <w:rsid w:val="0095366A"/>
    <w:rsid w:val="00953CAF"/>
    <w:rsid w:val="00954F43"/>
    <w:rsid w:val="00955FE2"/>
    <w:rsid w:val="00957957"/>
    <w:rsid w:val="00960925"/>
    <w:rsid w:val="00966016"/>
    <w:rsid w:val="00966780"/>
    <w:rsid w:val="00967CCF"/>
    <w:rsid w:val="00970073"/>
    <w:rsid w:val="00973CE3"/>
    <w:rsid w:val="00984AAE"/>
    <w:rsid w:val="009905FC"/>
    <w:rsid w:val="00996DCB"/>
    <w:rsid w:val="00996F31"/>
    <w:rsid w:val="009A3576"/>
    <w:rsid w:val="009A5742"/>
    <w:rsid w:val="009A62CC"/>
    <w:rsid w:val="009A67A0"/>
    <w:rsid w:val="009A6DAF"/>
    <w:rsid w:val="009B04A9"/>
    <w:rsid w:val="009B0967"/>
    <w:rsid w:val="009C5C2D"/>
    <w:rsid w:val="009C775E"/>
    <w:rsid w:val="009D1ED8"/>
    <w:rsid w:val="009D20F8"/>
    <w:rsid w:val="009E09C4"/>
    <w:rsid w:val="009E1033"/>
    <w:rsid w:val="009E752E"/>
    <w:rsid w:val="009F3DC9"/>
    <w:rsid w:val="009F54B3"/>
    <w:rsid w:val="009F607E"/>
    <w:rsid w:val="009F7EE4"/>
    <w:rsid w:val="00A013A1"/>
    <w:rsid w:val="00A02C2E"/>
    <w:rsid w:val="00A035E8"/>
    <w:rsid w:val="00A12983"/>
    <w:rsid w:val="00A2156D"/>
    <w:rsid w:val="00A23C7B"/>
    <w:rsid w:val="00A23EC8"/>
    <w:rsid w:val="00A255D7"/>
    <w:rsid w:val="00A25B4C"/>
    <w:rsid w:val="00A325D4"/>
    <w:rsid w:val="00A32E6B"/>
    <w:rsid w:val="00A3463A"/>
    <w:rsid w:val="00A408EC"/>
    <w:rsid w:val="00A416A3"/>
    <w:rsid w:val="00A4253C"/>
    <w:rsid w:val="00A46E08"/>
    <w:rsid w:val="00A50A76"/>
    <w:rsid w:val="00A512C7"/>
    <w:rsid w:val="00A54A07"/>
    <w:rsid w:val="00A55753"/>
    <w:rsid w:val="00A560EE"/>
    <w:rsid w:val="00A705B7"/>
    <w:rsid w:val="00A708C1"/>
    <w:rsid w:val="00A711E0"/>
    <w:rsid w:val="00A72FFC"/>
    <w:rsid w:val="00A76209"/>
    <w:rsid w:val="00A77D7E"/>
    <w:rsid w:val="00A80AF2"/>
    <w:rsid w:val="00A821B9"/>
    <w:rsid w:val="00A82EB2"/>
    <w:rsid w:val="00A83DE3"/>
    <w:rsid w:val="00A842D5"/>
    <w:rsid w:val="00A86270"/>
    <w:rsid w:val="00A87B2D"/>
    <w:rsid w:val="00A90D65"/>
    <w:rsid w:val="00AA05A4"/>
    <w:rsid w:val="00AA50E1"/>
    <w:rsid w:val="00AA62F3"/>
    <w:rsid w:val="00AA719A"/>
    <w:rsid w:val="00AB38B0"/>
    <w:rsid w:val="00AB7061"/>
    <w:rsid w:val="00AC367E"/>
    <w:rsid w:val="00AC4948"/>
    <w:rsid w:val="00AC64AF"/>
    <w:rsid w:val="00AC6F3B"/>
    <w:rsid w:val="00AC78D1"/>
    <w:rsid w:val="00AD1394"/>
    <w:rsid w:val="00AD2FC3"/>
    <w:rsid w:val="00AE3FB0"/>
    <w:rsid w:val="00AE464F"/>
    <w:rsid w:val="00AE60E4"/>
    <w:rsid w:val="00AE747A"/>
    <w:rsid w:val="00AE7E7A"/>
    <w:rsid w:val="00AF4F2D"/>
    <w:rsid w:val="00AF56A4"/>
    <w:rsid w:val="00AF619D"/>
    <w:rsid w:val="00B0270F"/>
    <w:rsid w:val="00B02CA7"/>
    <w:rsid w:val="00B03766"/>
    <w:rsid w:val="00B04D09"/>
    <w:rsid w:val="00B05849"/>
    <w:rsid w:val="00B05B2C"/>
    <w:rsid w:val="00B0743E"/>
    <w:rsid w:val="00B07E7B"/>
    <w:rsid w:val="00B10776"/>
    <w:rsid w:val="00B124FA"/>
    <w:rsid w:val="00B13F1C"/>
    <w:rsid w:val="00B1583E"/>
    <w:rsid w:val="00B17303"/>
    <w:rsid w:val="00B20AFC"/>
    <w:rsid w:val="00B25159"/>
    <w:rsid w:val="00B30307"/>
    <w:rsid w:val="00B3437C"/>
    <w:rsid w:val="00B37ABC"/>
    <w:rsid w:val="00B37D4E"/>
    <w:rsid w:val="00B40C4B"/>
    <w:rsid w:val="00B42541"/>
    <w:rsid w:val="00B436FE"/>
    <w:rsid w:val="00B53008"/>
    <w:rsid w:val="00B54E71"/>
    <w:rsid w:val="00B561B5"/>
    <w:rsid w:val="00B708AF"/>
    <w:rsid w:val="00B71F22"/>
    <w:rsid w:val="00B7471A"/>
    <w:rsid w:val="00B7477C"/>
    <w:rsid w:val="00B7538D"/>
    <w:rsid w:val="00B80F2A"/>
    <w:rsid w:val="00B83A2A"/>
    <w:rsid w:val="00B83D07"/>
    <w:rsid w:val="00B91B4B"/>
    <w:rsid w:val="00B92124"/>
    <w:rsid w:val="00BA33AF"/>
    <w:rsid w:val="00BA5F91"/>
    <w:rsid w:val="00BB2AE6"/>
    <w:rsid w:val="00BB395F"/>
    <w:rsid w:val="00BB4578"/>
    <w:rsid w:val="00BB5212"/>
    <w:rsid w:val="00BB669B"/>
    <w:rsid w:val="00BC1B0A"/>
    <w:rsid w:val="00BC2F13"/>
    <w:rsid w:val="00BC45AD"/>
    <w:rsid w:val="00BD013E"/>
    <w:rsid w:val="00BD1D89"/>
    <w:rsid w:val="00BD7548"/>
    <w:rsid w:val="00BD7606"/>
    <w:rsid w:val="00BE0AFF"/>
    <w:rsid w:val="00BE13DD"/>
    <w:rsid w:val="00BE182E"/>
    <w:rsid w:val="00BE2ABC"/>
    <w:rsid w:val="00BE361F"/>
    <w:rsid w:val="00BE7E62"/>
    <w:rsid w:val="00BF0C45"/>
    <w:rsid w:val="00BF24B5"/>
    <w:rsid w:val="00BF48A4"/>
    <w:rsid w:val="00C00FCA"/>
    <w:rsid w:val="00C14D8C"/>
    <w:rsid w:val="00C16471"/>
    <w:rsid w:val="00C23506"/>
    <w:rsid w:val="00C30275"/>
    <w:rsid w:val="00C30A77"/>
    <w:rsid w:val="00C31E39"/>
    <w:rsid w:val="00C33CEA"/>
    <w:rsid w:val="00C36260"/>
    <w:rsid w:val="00C41A7B"/>
    <w:rsid w:val="00C47499"/>
    <w:rsid w:val="00C514FF"/>
    <w:rsid w:val="00C5363F"/>
    <w:rsid w:val="00C54679"/>
    <w:rsid w:val="00C563CA"/>
    <w:rsid w:val="00C56465"/>
    <w:rsid w:val="00C61694"/>
    <w:rsid w:val="00C61807"/>
    <w:rsid w:val="00C642C2"/>
    <w:rsid w:val="00C71159"/>
    <w:rsid w:val="00C733D3"/>
    <w:rsid w:val="00C75DE1"/>
    <w:rsid w:val="00C80BF4"/>
    <w:rsid w:val="00C824A4"/>
    <w:rsid w:val="00C91434"/>
    <w:rsid w:val="00C92082"/>
    <w:rsid w:val="00C92264"/>
    <w:rsid w:val="00C92DDB"/>
    <w:rsid w:val="00C93FF9"/>
    <w:rsid w:val="00C9487D"/>
    <w:rsid w:val="00C95C47"/>
    <w:rsid w:val="00C96DB6"/>
    <w:rsid w:val="00CA17EE"/>
    <w:rsid w:val="00CA1B8C"/>
    <w:rsid w:val="00CA33B3"/>
    <w:rsid w:val="00CB0947"/>
    <w:rsid w:val="00CB3680"/>
    <w:rsid w:val="00CC0617"/>
    <w:rsid w:val="00CC116B"/>
    <w:rsid w:val="00CC4818"/>
    <w:rsid w:val="00CC4E7F"/>
    <w:rsid w:val="00CC5086"/>
    <w:rsid w:val="00CC5C2E"/>
    <w:rsid w:val="00CC5F22"/>
    <w:rsid w:val="00CC5FE9"/>
    <w:rsid w:val="00CD2EF2"/>
    <w:rsid w:val="00CD342F"/>
    <w:rsid w:val="00CD4725"/>
    <w:rsid w:val="00CD47C7"/>
    <w:rsid w:val="00CD50B9"/>
    <w:rsid w:val="00CD51B9"/>
    <w:rsid w:val="00CE655A"/>
    <w:rsid w:val="00D01A6E"/>
    <w:rsid w:val="00D04B04"/>
    <w:rsid w:val="00D076A7"/>
    <w:rsid w:val="00D11B10"/>
    <w:rsid w:val="00D11D66"/>
    <w:rsid w:val="00D15C34"/>
    <w:rsid w:val="00D27D63"/>
    <w:rsid w:val="00D32823"/>
    <w:rsid w:val="00D3315A"/>
    <w:rsid w:val="00D34024"/>
    <w:rsid w:val="00D35D53"/>
    <w:rsid w:val="00D37602"/>
    <w:rsid w:val="00D409DD"/>
    <w:rsid w:val="00D5103F"/>
    <w:rsid w:val="00D52B35"/>
    <w:rsid w:val="00D54FA2"/>
    <w:rsid w:val="00D55926"/>
    <w:rsid w:val="00D56EE6"/>
    <w:rsid w:val="00D57E20"/>
    <w:rsid w:val="00D630C3"/>
    <w:rsid w:val="00D63B7C"/>
    <w:rsid w:val="00D66486"/>
    <w:rsid w:val="00D73296"/>
    <w:rsid w:val="00D76BD4"/>
    <w:rsid w:val="00D80829"/>
    <w:rsid w:val="00D80C1F"/>
    <w:rsid w:val="00D80FBE"/>
    <w:rsid w:val="00D816B6"/>
    <w:rsid w:val="00D82574"/>
    <w:rsid w:val="00D8429F"/>
    <w:rsid w:val="00D90260"/>
    <w:rsid w:val="00D96A92"/>
    <w:rsid w:val="00DA0516"/>
    <w:rsid w:val="00DA0624"/>
    <w:rsid w:val="00DA0A8A"/>
    <w:rsid w:val="00DA2BA3"/>
    <w:rsid w:val="00DA402A"/>
    <w:rsid w:val="00DA7DB5"/>
    <w:rsid w:val="00DB7AD7"/>
    <w:rsid w:val="00DC1B9C"/>
    <w:rsid w:val="00DC4B3E"/>
    <w:rsid w:val="00DC5A93"/>
    <w:rsid w:val="00DC6805"/>
    <w:rsid w:val="00DD4CC6"/>
    <w:rsid w:val="00DD7C6B"/>
    <w:rsid w:val="00DE60D6"/>
    <w:rsid w:val="00DF19A5"/>
    <w:rsid w:val="00E042A1"/>
    <w:rsid w:val="00E10058"/>
    <w:rsid w:val="00E101C7"/>
    <w:rsid w:val="00E10407"/>
    <w:rsid w:val="00E10625"/>
    <w:rsid w:val="00E122D6"/>
    <w:rsid w:val="00E15B5E"/>
    <w:rsid w:val="00E15C64"/>
    <w:rsid w:val="00E23603"/>
    <w:rsid w:val="00E23FD4"/>
    <w:rsid w:val="00E244E3"/>
    <w:rsid w:val="00E32FAF"/>
    <w:rsid w:val="00E3523E"/>
    <w:rsid w:val="00E503D3"/>
    <w:rsid w:val="00E52ADB"/>
    <w:rsid w:val="00E52F85"/>
    <w:rsid w:val="00E60B94"/>
    <w:rsid w:val="00E63A01"/>
    <w:rsid w:val="00E67FE9"/>
    <w:rsid w:val="00E769CC"/>
    <w:rsid w:val="00E76E32"/>
    <w:rsid w:val="00E7700A"/>
    <w:rsid w:val="00E869AE"/>
    <w:rsid w:val="00E87793"/>
    <w:rsid w:val="00E87BAB"/>
    <w:rsid w:val="00E91EC9"/>
    <w:rsid w:val="00E92259"/>
    <w:rsid w:val="00E923BD"/>
    <w:rsid w:val="00E93E3F"/>
    <w:rsid w:val="00E942DD"/>
    <w:rsid w:val="00EA0139"/>
    <w:rsid w:val="00EA2E80"/>
    <w:rsid w:val="00EA2EB7"/>
    <w:rsid w:val="00EA76A9"/>
    <w:rsid w:val="00EA79C6"/>
    <w:rsid w:val="00EB19B6"/>
    <w:rsid w:val="00EC02E5"/>
    <w:rsid w:val="00EC3BCC"/>
    <w:rsid w:val="00EC45F1"/>
    <w:rsid w:val="00EC4A40"/>
    <w:rsid w:val="00EC4C40"/>
    <w:rsid w:val="00EC61CF"/>
    <w:rsid w:val="00EC6547"/>
    <w:rsid w:val="00EC73FD"/>
    <w:rsid w:val="00ED2544"/>
    <w:rsid w:val="00ED2E85"/>
    <w:rsid w:val="00ED38E3"/>
    <w:rsid w:val="00ED5D55"/>
    <w:rsid w:val="00EE47E8"/>
    <w:rsid w:val="00EE5181"/>
    <w:rsid w:val="00EF4A5D"/>
    <w:rsid w:val="00EF5391"/>
    <w:rsid w:val="00EF7928"/>
    <w:rsid w:val="00F01C0F"/>
    <w:rsid w:val="00F0278B"/>
    <w:rsid w:val="00F02846"/>
    <w:rsid w:val="00F036D0"/>
    <w:rsid w:val="00F040AF"/>
    <w:rsid w:val="00F04FF2"/>
    <w:rsid w:val="00F12640"/>
    <w:rsid w:val="00F15464"/>
    <w:rsid w:val="00F15A5D"/>
    <w:rsid w:val="00F17200"/>
    <w:rsid w:val="00F1730C"/>
    <w:rsid w:val="00F240C4"/>
    <w:rsid w:val="00F278AB"/>
    <w:rsid w:val="00F300D5"/>
    <w:rsid w:val="00F41D9D"/>
    <w:rsid w:val="00F4519B"/>
    <w:rsid w:val="00F46136"/>
    <w:rsid w:val="00F52971"/>
    <w:rsid w:val="00F57C20"/>
    <w:rsid w:val="00F612D7"/>
    <w:rsid w:val="00F65747"/>
    <w:rsid w:val="00F67223"/>
    <w:rsid w:val="00F716EC"/>
    <w:rsid w:val="00F71F71"/>
    <w:rsid w:val="00F72C0F"/>
    <w:rsid w:val="00F7327B"/>
    <w:rsid w:val="00F734D5"/>
    <w:rsid w:val="00F73A79"/>
    <w:rsid w:val="00F76204"/>
    <w:rsid w:val="00F872F7"/>
    <w:rsid w:val="00F90FE7"/>
    <w:rsid w:val="00F924C7"/>
    <w:rsid w:val="00F97A24"/>
    <w:rsid w:val="00FA1330"/>
    <w:rsid w:val="00FA1FEA"/>
    <w:rsid w:val="00FA23B4"/>
    <w:rsid w:val="00FA2F64"/>
    <w:rsid w:val="00FB3835"/>
    <w:rsid w:val="00FB40B2"/>
    <w:rsid w:val="00FB553A"/>
    <w:rsid w:val="00FC0447"/>
    <w:rsid w:val="00FC17CE"/>
    <w:rsid w:val="00FC1EFD"/>
    <w:rsid w:val="00FC7E78"/>
    <w:rsid w:val="00FD02DF"/>
    <w:rsid w:val="00FD265D"/>
    <w:rsid w:val="00FD38B8"/>
    <w:rsid w:val="00FD5281"/>
    <w:rsid w:val="00FD59A9"/>
    <w:rsid w:val="00FE528A"/>
    <w:rsid w:val="00FE6CEB"/>
    <w:rsid w:val="00FE7532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3A6F"/>
  <w15:docId w15:val="{D6EE30D4-16E6-44E0-AD17-53FF091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0BB0-193C-4658-9CCD-E531C334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17</cp:revision>
  <cp:lastPrinted>2018-10-26T16:05:00Z</cp:lastPrinted>
  <dcterms:created xsi:type="dcterms:W3CDTF">2019-09-11T16:56:00Z</dcterms:created>
  <dcterms:modified xsi:type="dcterms:W3CDTF">2022-06-27T13:51:00Z</dcterms:modified>
</cp:coreProperties>
</file>