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B4" w:rsidRPr="00112FBD" w:rsidRDefault="000178B4" w:rsidP="00F36064">
      <w:pPr>
        <w:jc w:val="center"/>
        <w:rPr>
          <w:rFonts w:ascii="Montserrat" w:hAnsi="Montserrat"/>
        </w:rPr>
      </w:pPr>
      <w:r w:rsidRPr="00112FBD">
        <w:rPr>
          <w:rFonts w:ascii="Montserrat" w:hAnsi="Montserrat"/>
        </w:rPr>
        <w:t>MATR</w:t>
      </w:r>
      <w:r w:rsidR="00DE04FD" w:rsidRPr="00112FBD">
        <w:rPr>
          <w:rFonts w:ascii="Montserrat" w:hAnsi="Montserrat"/>
        </w:rPr>
        <w:t>I</w:t>
      </w:r>
      <w:r w:rsidRPr="00112FBD">
        <w:rPr>
          <w:rFonts w:ascii="Montserrat" w:hAnsi="Montserrat"/>
        </w:rPr>
        <w:t xml:space="preserve">Z DE INDICADORES </w:t>
      </w:r>
      <w:r w:rsidR="00DA3F28" w:rsidRPr="00605CE2">
        <w:rPr>
          <w:rFonts w:ascii="Montserrat" w:hAnsi="Montserrat"/>
          <w:highlight w:val="cyan"/>
        </w:rPr>
        <w:t>20</w:t>
      </w:r>
      <w:r w:rsidR="00D47272" w:rsidRPr="00605CE2">
        <w:rPr>
          <w:rFonts w:ascii="Montserrat" w:hAnsi="Montserrat"/>
          <w:highlight w:val="cyan"/>
        </w:rPr>
        <w:t>2</w:t>
      </w:r>
      <w:r w:rsidR="00605CE2" w:rsidRPr="00605CE2">
        <w:rPr>
          <w:rFonts w:ascii="Montserrat" w:hAnsi="Montserrat"/>
          <w:highlight w:val="cyan"/>
        </w:rPr>
        <w:t>3</w:t>
      </w:r>
    </w:p>
    <w:p w:rsidR="00435349" w:rsidRPr="00112FBD" w:rsidRDefault="000178B4" w:rsidP="00F36064">
      <w:pPr>
        <w:jc w:val="center"/>
        <w:rPr>
          <w:rFonts w:ascii="Montserrat" w:hAnsi="Montserrat"/>
        </w:rPr>
      </w:pPr>
      <w:r w:rsidRPr="00112FBD">
        <w:rPr>
          <w:rFonts w:ascii="Montserrat" w:hAnsi="Montserrat"/>
        </w:rPr>
        <w:t xml:space="preserve">DEL PROGRAMA FORMACIÓN Y CAPACITACIÓN </w:t>
      </w:r>
    </w:p>
    <w:p w:rsidR="000178B4" w:rsidRPr="00112FBD" w:rsidRDefault="000178B4" w:rsidP="00F36064">
      <w:pPr>
        <w:jc w:val="center"/>
        <w:rPr>
          <w:rFonts w:ascii="Montserrat" w:hAnsi="Montserrat"/>
        </w:rPr>
      </w:pPr>
      <w:r w:rsidRPr="00112FBD">
        <w:rPr>
          <w:rFonts w:ascii="Montserrat" w:hAnsi="Montserrat"/>
        </w:rPr>
        <w:t>DE RECURSOS HUMANOS PARA LA SALUD</w:t>
      </w:r>
    </w:p>
    <w:p w:rsidR="000178B4" w:rsidRPr="00112FBD" w:rsidRDefault="000178B4" w:rsidP="000178B4">
      <w:pPr>
        <w:jc w:val="center"/>
        <w:rPr>
          <w:rFonts w:ascii="Montserrat" w:hAnsi="Montserrat"/>
        </w:rPr>
      </w:pPr>
      <w:r w:rsidRPr="00112FBD">
        <w:rPr>
          <w:rFonts w:ascii="Montserrat" w:hAnsi="Montserrat"/>
        </w:rPr>
        <w:t>FICHA TÉCNICA</w:t>
      </w:r>
      <w:r w:rsidR="005E2806" w:rsidRPr="00112FBD">
        <w:rPr>
          <w:rFonts w:ascii="Montserrat" w:hAnsi="Montserrat"/>
        </w:rPr>
        <w:t xml:space="preserve"> </w:t>
      </w:r>
      <w:r w:rsidR="00C81B06" w:rsidRPr="00605CE2">
        <w:rPr>
          <w:rFonts w:ascii="Montserrat" w:hAnsi="Montserrat"/>
          <w:highlight w:val="cyan"/>
        </w:rPr>
        <w:t>JU</w:t>
      </w:r>
      <w:r w:rsidR="00605CE2" w:rsidRPr="00605CE2">
        <w:rPr>
          <w:rFonts w:ascii="Montserrat" w:hAnsi="Montserrat"/>
          <w:highlight w:val="cyan"/>
        </w:rPr>
        <w:t>N</w:t>
      </w:r>
      <w:r w:rsidR="00C81B06" w:rsidRPr="00605CE2">
        <w:rPr>
          <w:rFonts w:ascii="Montserrat" w:hAnsi="Montserrat"/>
          <w:highlight w:val="cyan"/>
        </w:rPr>
        <w:t xml:space="preserve">IO </w:t>
      </w:r>
      <w:r w:rsidR="00605CE2" w:rsidRPr="00605CE2">
        <w:rPr>
          <w:rFonts w:ascii="Montserrat" w:hAnsi="Montserrat"/>
          <w:highlight w:val="cyan"/>
        </w:rPr>
        <w:t>27</w:t>
      </w:r>
      <w:r w:rsidR="00D47272" w:rsidRPr="00605CE2">
        <w:rPr>
          <w:rFonts w:ascii="Montserrat" w:hAnsi="Montserrat"/>
          <w:highlight w:val="cyan"/>
        </w:rPr>
        <w:t xml:space="preserve"> 202</w:t>
      </w:r>
      <w:r w:rsidR="00605CE2" w:rsidRPr="00605CE2">
        <w:rPr>
          <w:rFonts w:ascii="Montserrat" w:hAnsi="Montserrat"/>
          <w:highlight w:val="cyan"/>
        </w:rPr>
        <w:t>2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18"/>
        <w:gridCol w:w="810"/>
        <w:gridCol w:w="106"/>
        <w:gridCol w:w="524"/>
        <w:gridCol w:w="180"/>
        <w:gridCol w:w="600"/>
        <w:gridCol w:w="480"/>
        <w:gridCol w:w="180"/>
        <w:gridCol w:w="180"/>
        <w:gridCol w:w="180"/>
        <w:gridCol w:w="180"/>
        <w:gridCol w:w="48"/>
        <w:gridCol w:w="188"/>
        <w:gridCol w:w="48"/>
        <w:gridCol w:w="256"/>
        <w:gridCol w:w="180"/>
        <w:gridCol w:w="360"/>
        <w:gridCol w:w="720"/>
        <w:gridCol w:w="374"/>
        <w:gridCol w:w="824"/>
        <w:gridCol w:w="26"/>
        <w:gridCol w:w="396"/>
        <w:gridCol w:w="498"/>
        <w:gridCol w:w="99"/>
        <w:gridCol w:w="1701"/>
        <w:gridCol w:w="42"/>
      </w:tblGrid>
      <w:tr w:rsidR="00535617" w:rsidRPr="00112FBD" w:rsidTr="00602D37">
        <w:tc>
          <w:tcPr>
            <w:tcW w:w="10440" w:type="dxa"/>
            <w:gridSpan w:val="27"/>
            <w:tcBorders>
              <w:bottom w:val="single" w:sz="4" w:space="0" w:color="auto"/>
            </w:tcBorders>
            <w:shd w:val="clear" w:color="auto" w:fill="C00000"/>
          </w:tcPr>
          <w:p w:rsidR="00535617" w:rsidRPr="00112FBD" w:rsidRDefault="00555376" w:rsidP="00DF2D3D">
            <w:pPr>
              <w:tabs>
                <w:tab w:val="left" w:pos="1861"/>
                <w:tab w:val="center" w:pos="5112"/>
              </w:tabs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Eficiencia terminal de </w:t>
            </w:r>
            <w:r w:rsidR="00DF2D3D" w:rsidRPr="00112FBD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especializaciones no clínicas, maestrías y doctorados</w:t>
            </w:r>
          </w:p>
        </w:tc>
      </w:tr>
      <w:tr w:rsidR="008325CB" w:rsidRPr="00112FBD" w:rsidTr="00602D37">
        <w:tc>
          <w:tcPr>
            <w:tcW w:w="10440" w:type="dxa"/>
            <w:gridSpan w:val="27"/>
            <w:tcBorders>
              <w:bottom w:val="nil"/>
            </w:tcBorders>
            <w:shd w:val="clear" w:color="auto" w:fill="76923C" w:themeFill="accent3" w:themeFillShade="BF"/>
          </w:tcPr>
          <w:p w:rsidR="008325CB" w:rsidRPr="00112FBD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112FBD" w:rsidTr="00617A54"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:rsidR="006962E7" w:rsidRPr="00112FBD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112FBD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112FBD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  <w:tc>
          <w:tcPr>
            <w:tcW w:w="2880" w:type="dxa"/>
            <w:gridSpan w:val="7"/>
            <w:tcBorders>
              <w:top w:val="nil"/>
            </w:tcBorders>
            <w:shd w:val="clear" w:color="auto" w:fill="auto"/>
          </w:tcPr>
          <w:p w:rsidR="006962E7" w:rsidRPr="00112FBD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340" w:type="dxa"/>
            <w:gridSpan w:val="4"/>
            <w:tcBorders>
              <w:top w:val="nil"/>
            </w:tcBorders>
            <w:shd w:val="clear" w:color="auto" w:fill="auto"/>
          </w:tcPr>
          <w:p w:rsidR="006962E7" w:rsidRPr="00112FBD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112FBD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</w:tr>
      <w:tr w:rsidR="00E87793" w:rsidRPr="00112FBD" w:rsidTr="00D76A96">
        <w:trPr>
          <w:trHeight w:val="580"/>
        </w:trPr>
        <w:tc>
          <w:tcPr>
            <w:tcW w:w="10440" w:type="dxa"/>
            <w:gridSpan w:val="27"/>
            <w:shd w:val="clear" w:color="auto" w:fill="auto"/>
          </w:tcPr>
          <w:p w:rsidR="00E87793" w:rsidRPr="00112FBD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112FBD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112FBD" w:rsidTr="00617A54">
        <w:tc>
          <w:tcPr>
            <w:tcW w:w="4320" w:type="dxa"/>
            <w:gridSpan w:val="10"/>
            <w:shd w:val="clear" w:color="auto" w:fill="auto"/>
          </w:tcPr>
          <w:p w:rsidR="007C13B1" w:rsidRPr="00112FBD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120" w:type="dxa"/>
            <w:gridSpan w:val="17"/>
            <w:shd w:val="clear" w:color="auto" w:fill="auto"/>
          </w:tcPr>
          <w:p w:rsidR="007C13B1" w:rsidRPr="00112FBD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112FBD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5A62EC" w:rsidRPr="00112FBD" w:rsidTr="00617A54">
        <w:tc>
          <w:tcPr>
            <w:tcW w:w="10440" w:type="dxa"/>
            <w:gridSpan w:val="27"/>
            <w:shd w:val="clear" w:color="auto" w:fill="auto"/>
          </w:tcPr>
          <w:p w:rsidR="005A62EC" w:rsidRPr="00112FBD" w:rsidRDefault="005A62EC" w:rsidP="005A62EC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5A62EC" w:rsidRPr="00112FBD" w:rsidRDefault="005A62EC">
            <w:pPr>
              <w:tabs>
                <w:tab w:val="num" w:pos="540"/>
              </w:tabs>
              <w:ind w:left="540" w:hanging="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Profesionales de la salud que realizan actividades formación de posgrado en las unidades / entidades ejecutoras del programa</w:t>
            </w:r>
          </w:p>
        </w:tc>
      </w:tr>
      <w:tr w:rsidR="005A62EC" w:rsidRPr="00112FBD" w:rsidTr="00617A54">
        <w:tc>
          <w:tcPr>
            <w:tcW w:w="10440" w:type="dxa"/>
            <w:gridSpan w:val="27"/>
            <w:shd w:val="clear" w:color="auto" w:fill="auto"/>
          </w:tcPr>
          <w:p w:rsidR="005A62EC" w:rsidRPr="00112FBD" w:rsidRDefault="005A62EC" w:rsidP="00602D37">
            <w:pPr>
              <w:tabs>
                <w:tab w:val="num" w:pos="540"/>
              </w:tabs>
              <w:ind w:left="540" w:right="47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5A62EC" w:rsidRPr="00112FBD" w:rsidRDefault="005A62EC" w:rsidP="00602D37">
            <w:pPr>
              <w:tabs>
                <w:tab w:val="num" w:pos="540"/>
              </w:tabs>
              <w:ind w:left="540" w:right="47" w:hanging="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Formar médicos especialistas y otras profesionistas de la salud mediante estudios de posgrado que</w:t>
            </w:r>
            <w:r w:rsidR="00DA3F28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contribuyan a mejorar la salud de la población</w:t>
            </w:r>
          </w:p>
        </w:tc>
      </w:tr>
      <w:tr w:rsidR="00E23603" w:rsidRPr="00112FBD" w:rsidTr="00617A54">
        <w:tc>
          <w:tcPr>
            <w:tcW w:w="10440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E23603" w:rsidRPr="00112FBD" w:rsidRDefault="00541E9A" w:rsidP="00602D37">
            <w:pPr>
              <w:tabs>
                <w:tab w:val="num" w:pos="540"/>
              </w:tabs>
              <w:ind w:left="540" w:right="47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E23603" w:rsidRPr="007916ED" w:rsidRDefault="00DA594E" w:rsidP="007916ED">
            <w:pPr>
              <w:tabs>
                <w:tab w:val="num" w:pos="540"/>
              </w:tabs>
              <w:ind w:left="540" w:right="47" w:hanging="540"/>
              <w:rPr>
                <w:rFonts w:ascii="Montserrat" w:hAnsi="Montserrat" w:cs="Arial"/>
                <w:bCs/>
                <w:i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Propósito: </w:t>
            </w:r>
            <w:r w:rsidR="005512C2" w:rsidRPr="00112FBD">
              <w:rPr>
                <w:rFonts w:ascii="Montserrat" w:hAnsi="Montserrat" w:cs="Arial"/>
                <w:bCs/>
                <w:iCs/>
                <w:sz w:val="20"/>
                <w:szCs w:val="20"/>
              </w:rPr>
              <w:t xml:space="preserve">Profesionales de la salud desarrollan competencias técnico-médicas y de gestión </w:t>
            </w:r>
            <w:r w:rsidR="001F37A0">
              <w:rPr>
                <w:rFonts w:ascii="Montserrat" w:hAnsi="Montserrat" w:cs="Arial"/>
                <w:bCs/>
                <w:iCs/>
                <w:sz w:val="20"/>
                <w:szCs w:val="20"/>
              </w:rPr>
              <w:t>acordes</w:t>
            </w:r>
            <w:r w:rsidR="007916ED">
              <w:rPr>
                <w:rFonts w:ascii="Montserrat" w:hAnsi="Montserrat" w:cs="Arial"/>
                <w:bCs/>
                <w:iCs/>
                <w:sz w:val="20"/>
                <w:szCs w:val="20"/>
              </w:rPr>
              <w:t xml:space="preserve"> </w:t>
            </w:r>
            <w:r w:rsidR="001F37A0">
              <w:rPr>
                <w:rFonts w:ascii="Montserrat" w:hAnsi="Montserrat" w:cs="Arial"/>
                <w:bCs/>
                <w:iCs/>
                <w:sz w:val="20"/>
                <w:szCs w:val="20"/>
              </w:rPr>
              <w:t>con</w:t>
            </w:r>
            <w:r w:rsidR="00DA3F28">
              <w:rPr>
                <w:rFonts w:ascii="Montserrat" w:hAnsi="Montserrat" w:cs="Arial"/>
                <w:bCs/>
                <w:iCs/>
                <w:sz w:val="20"/>
                <w:szCs w:val="20"/>
              </w:rPr>
              <w:t xml:space="preserve"> </w:t>
            </w:r>
            <w:r w:rsidR="005512C2" w:rsidRPr="00112FBD">
              <w:rPr>
                <w:rFonts w:ascii="Montserrat" w:hAnsi="Montserrat" w:cs="Arial"/>
                <w:bCs/>
                <w:iCs/>
                <w:sz w:val="20"/>
                <w:szCs w:val="20"/>
              </w:rPr>
              <w:t>las</w:t>
            </w:r>
            <w:r w:rsidR="00DA3F28">
              <w:rPr>
                <w:rFonts w:ascii="Montserrat" w:hAnsi="Montserrat" w:cs="Arial"/>
                <w:bCs/>
                <w:iCs/>
                <w:sz w:val="20"/>
                <w:szCs w:val="20"/>
              </w:rPr>
              <w:t xml:space="preserve"> </w:t>
            </w:r>
            <w:r w:rsidR="005512C2" w:rsidRPr="00112FBD">
              <w:rPr>
                <w:rFonts w:ascii="Montserrat" w:hAnsi="Montserrat" w:cs="Arial"/>
                <w:bCs/>
                <w:iCs/>
                <w:sz w:val="20"/>
                <w:szCs w:val="20"/>
              </w:rPr>
              <w:t>necesidades de la salud de la población.</w:t>
            </w:r>
          </w:p>
        </w:tc>
      </w:tr>
      <w:tr w:rsidR="00E23603" w:rsidRPr="00112FBD" w:rsidTr="00602D37">
        <w:tc>
          <w:tcPr>
            <w:tcW w:w="10440" w:type="dxa"/>
            <w:gridSpan w:val="27"/>
            <w:shd w:val="clear" w:color="auto" w:fill="C00000"/>
          </w:tcPr>
          <w:p w:rsidR="00E23603" w:rsidRPr="00112FBD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112FBD" w:rsidTr="00617A54">
        <w:tc>
          <w:tcPr>
            <w:tcW w:w="4680" w:type="dxa"/>
            <w:gridSpan w:val="12"/>
            <w:shd w:val="clear" w:color="auto" w:fill="auto"/>
          </w:tcPr>
          <w:p w:rsidR="00647733" w:rsidRPr="00112FBD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47733" w:rsidRPr="00112FBD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gridSpan w:val="7"/>
            <w:shd w:val="clear" w:color="auto" w:fill="auto"/>
          </w:tcPr>
          <w:p w:rsidR="00647733" w:rsidRPr="00112FBD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 del indicador</w:t>
            </w:r>
          </w:p>
        </w:tc>
        <w:tc>
          <w:tcPr>
            <w:tcW w:w="2762" w:type="dxa"/>
            <w:gridSpan w:val="6"/>
            <w:shd w:val="clear" w:color="auto" w:fill="auto"/>
          </w:tcPr>
          <w:p w:rsidR="00647733" w:rsidRPr="00112FBD" w:rsidRDefault="00C61807" w:rsidP="003B1FF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  <w:r w:rsidR="00DE2598" w:rsidRPr="00112FBD">
              <w:rPr>
                <w:rFonts w:ascii="Montserrat" w:hAnsi="Montserrat" w:cs="Arial"/>
                <w:bCs/>
                <w:sz w:val="20"/>
                <w:szCs w:val="20"/>
              </w:rPr>
              <w:t>.2</w:t>
            </w:r>
          </w:p>
        </w:tc>
      </w:tr>
      <w:tr w:rsidR="00647733" w:rsidRPr="00112FBD" w:rsidTr="00762713">
        <w:trPr>
          <w:trHeight w:val="728"/>
        </w:trPr>
        <w:tc>
          <w:tcPr>
            <w:tcW w:w="4680" w:type="dxa"/>
            <w:gridSpan w:val="12"/>
            <w:shd w:val="clear" w:color="auto" w:fill="auto"/>
          </w:tcPr>
          <w:p w:rsidR="004B2373" w:rsidRPr="00112FBD" w:rsidRDefault="004B2373" w:rsidP="00602D37">
            <w:pPr>
              <w:tabs>
                <w:tab w:val="num" w:pos="0"/>
              </w:tabs>
              <w:ind w:left="83" w:right="99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</w:p>
          <w:p w:rsidR="00A46E08" w:rsidRPr="00112FBD" w:rsidRDefault="003B1FF8" w:rsidP="00602D37">
            <w:pPr>
              <w:tabs>
                <w:tab w:val="num" w:pos="0"/>
              </w:tabs>
              <w:ind w:right="99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Eficiencia terminal de </w:t>
            </w:r>
            <w:r w:rsidR="00C56125" w:rsidRPr="00112FBD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especializaciones no </w:t>
            </w:r>
            <w:r w:rsidR="00681A09" w:rsidRPr="00112FBD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c</w:t>
            </w:r>
            <w:r w:rsidR="00C56125" w:rsidRPr="00112FBD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línicas, maestrías y doctorados</w:t>
            </w:r>
            <w:r w:rsidR="00330D8F" w:rsidRPr="00112FBD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 educación continua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112FBD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524" w:type="dxa"/>
            <w:gridSpan w:val="13"/>
            <w:shd w:val="clear" w:color="auto" w:fill="auto"/>
          </w:tcPr>
          <w:p w:rsidR="00647733" w:rsidRPr="00112FBD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647733" w:rsidRPr="00112FBD" w:rsidRDefault="00ED116C" w:rsidP="0065055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No. de indicador </w:t>
            </w:r>
            <w:r w:rsidR="0065055A"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5</w:t>
            </w:r>
          </w:p>
        </w:tc>
      </w:tr>
      <w:tr w:rsidR="00507DF3" w:rsidRPr="00112FBD" w:rsidTr="00617A54">
        <w:tc>
          <w:tcPr>
            <w:tcW w:w="4680" w:type="dxa"/>
            <w:gridSpan w:val="12"/>
            <w:shd w:val="clear" w:color="auto" w:fill="auto"/>
          </w:tcPr>
          <w:p w:rsidR="00507DF3" w:rsidRPr="00112FBD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575799" w:rsidRPr="00112FBD" w:rsidRDefault="00575799" w:rsidP="0044757D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112FBD" w:rsidRDefault="00C61807" w:rsidP="0044757D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Efic</w:t>
            </w:r>
            <w:r w:rsidR="0044757D" w:rsidRPr="00112FBD">
              <w:rPr>
                <w:rFonts w:ascii="Montserrat" w:hAnsi="Montserrat" w:cs="Arial"/>
                <w:bCs/>
                <w:sz w:val="20"/>
                <w:szCs w:val="20"/>
              </w:rPr>
              <w:t>iencia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112FBD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524" w:type="dxa"/>
            <w:gridSpan w:val="13"/>
            <w:shd w:val="clear" w:color="auto" w:fill="auto"/>
          </w:tcPr>
          <w:p w:rsidR="00C61807" w:rsidRPr="00112FBD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AB16CD" w:rsidRPr="00112FBD" w:rsidRDefault="00AB16CD" w:rsidP="002931C6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B5153F" w:rsidRDefault="002931C6" w:rsidP="00762713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sz w:val="20"/>
                <w:szCs w:val="20"/>
              </w:rPr>
              <w:t xml:space="preserve">Los resultados del indicador reflejan la eficiencia </w:t>
            </w:r>
            <w:r w:rsidR="00AB16CD" w:rsidRPr="00112FBD">
              <w:rPr>
                <w:rFonts w:ascii="Montserrat" w:hAnsi="Montserrat" w:cs="Arial"/>
                <w:sz w:val="20"/>
                <w:szCs w:val="20"/>
              </w:rPr>
              <w:t xml:space="preserve">institucional para retener a los profesionales en la </w:t>
            </w:r>
            <w:r w:rsidRPr="00112FBD">
              <w:rPr>
                <w:rFonts w:ascii="Montserrat" w:hAnsi="Montserrat" w:cs="Arial"/>
                <w:sz w:val="20"/>
                <w:szCs w:val="20"/>
              </w:rPr>
              <w:t>formación</w:t>
            </w:r>
            <w:r w:rsidR="00AB16CD" w:rsidRPr="00112FBD">
              <w:rPr>
                <w:rFonts w:ascii="Montserrat" w:hAnsi="Montserrat" w:cs="Arial"/>
                <w:sz w:val="20"/>
                <w:szCs w:val="20"/>
              </w:rPr>
              <w:t xml:space="preserve"> de los programas de</w:t>
            </w:r>
            <w:r w:rsidRPr="00112FBD">
              <w:rPr>
                <w:rFonts w:ascii="Montserrat" w:hAnsi="Montserrat" w:cs="Arial"/>
                <w:sz w:val="20"/>
                <w:szCs w:val="20"/>
              </w:rPr>
              <w:t xml:space="preserve"> posgrados no clínicos (especializaciones no clínicas, maestría y doctorado) en las instituciones de la CCINSHAE</w:t>
            </w:r>
          </w:p>
          <w:p w:rsidR="00532917" w:rsidRPr="00112FBD" w:rsidRDefault="00532917" w:rsidP="00762713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112FBD" w:rsidTr="00617A54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DF3" w:rsidRPr="00112FBD" w:rsidRDefault="00507DF3" w:rsidP="00602D37">
            <w:pPr>
              <w:tabs>
                <w:tab w:val="num" w:pos="540"/>
              </w:tabs>
              <w:ind w:left="540" w:right="-43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3A21F3" w:rsidRPr="00112FBD" w:rsidRDefault="003A21F3" w:rsidP="00602D37">
            <w:pPr>
              <w:tabs>
                <w:tab w:val="num" w:pos="540"/>
              </w:tabs>
              <w:ind w:left="540" w:right="-43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3B4F37" w:rsidRPr="00112FBD" w:rsidRDefault="00B5153F" w:rsidP="00602D37">
            <w:pPr>
              <w:tabs>
                <w:tab w:val="num" w:pos="0"/>
              </w:tabs>
              <w:ind w:right="-43"/>
              <w:rPr>
                <w:rFonts w:ascii="Montserrat" w:hAnsi="Montserrat" w:cs="Arial"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sz w:val="20"/>
                <w:szCs w:val="20"/>
              </w:rPr>
              <w:t>Número de profesionales</w:t>
            </w:r>
            <w:r w:rsidR="00B82F7D" w:rsidRPr="00112FB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3B4F37" w:rsidRPr="00112FBD">
              <w:rPr>
                <w:rFonts w:ascii="Montserrat" w:hAnsi="Montserrat" w:cs="Arial"/>
                <w:sz w:val="20"/>
                <w:szCs w:val="20"/>
              </w:rPr>
              <w:t>de</w:t>
            </w:r>
            <w:r w:rsidRPr="00112FB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4C304D" w:rsidRPr="00112FBD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especializaciones no clínicas, maestrías y doctorados</w:t>
            </w:r>
            <w:r w:rsidRPr="00112FB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9714D4" w:rsidRPr="00112FBD">
              <w:rPr>
                <w:rFonts w:ascii="Montserrat" w:hAnsi="Montserrat" w:cs="Arial"/>
                <w:sz w:val="20"/>
                <w:szCs w:val="20"/>
              </w:rPr>
              <w:t xml:space="preserve">de la misma cohorte </w:t>
            </w:r>
            <w:r w:rsidRPr="00112FBD">
              <w:rPr>
                <w:rFonts w:ascii="Montserrat" w:hAnsi="Montserrat" w:cs="Arial"/>
                <w:sz w:val="20"/>
                <w:szCs w:val="20"/>
              </w:rPr>
              <w:t>con constancia de terminación</w:t>
            </w:r>
            <w:r w:rsidR="002B72E5" w:rsidRPr="00112FB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112FBD">
              <w:rPr>
                <w:rFonts w:ascii="Montserrat" w:hAnsi="Montserrat" w:cs="Arial"/>
                <w:sz w:val="20"/>
                <w:szCs w:val="20"/>
              </w:rPr>
              <w:t>/</w:t>
            </w:r>
            <w:r w:rsidR="002B72E5" w:rsidRPr="00112FB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112FBD">
              <w:rPr>
                <w:rFonts w:ascii="Montserrat" w:hAnsi="Montserrat" w:cs="Arial"/>
                <w:sz w:val="20"/>
                <w:szCs w:val="20"/>
              </w:rPr>
              <w:t xml:space="preserve">Total de </w:t>
            </w:r>
          </w:p>
          <w:p w:rsidR="00B5153F" w:rsidRPr="00112FBD" w:rsidRDefault="00B5153F" w:rsidP="00602D37">
            <w:pPr>
              <w:tabs>
                <w:tab w:val="num" w:pos="0"/>
              </w:tabs>
              <w:ind w:right="-4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sz w:val="20"/>
                <w:szCs w:val="20"/>
              </w:rPr>
              <w:t xml:space="preserve">profesionales </w:t>
            </w:r>
            <w:r w:rsidR="00B82F7D" w:rsidRPr="00112FBD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de especializaciones no clínicas, maestrías y doctorados</w:t>
            </w:r>
            <w:r w:rsidR="00B82F7D" w:rsidRPr="00112FBD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112FBD">
              <w:rPr>
                <w:rFonts w:ascii="Montserrat" w:hAnsi="Montserrat" w:cs="Arial"/>
                <w:sz w:val="20"/>
                <w:szCs w:val="20"/>
              </w:rPr>
              <w:t xml:space="preserve">inscritos en la misma cohorte </w:t>
            </w:r>
            <w:r w:rsidR="00D27113" w:rsidRPr="00112FBD">
              <w:rPr>
                <w:rFonts w:ascii="Montserrat" w:hAnsi="Montserrat" w:cs="Arial"/>
                <w:sz w:val="20"/>
                <w:szCs w:val="20"/>
              </w:rPr>
              <w:t>x</w:t>
            </w:r>
            <w:r w:rsidR="004C7D47" w:rsidRPr="00112FB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D27113" w:rsidRPr="00112FBD">
              <w:rPr>
                <w:rFonts w:ascii="Montserrat" w:hAnsi="Montserrat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112FBD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52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14814" w:rsidRPr="00112FBD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575799" w:rsidRPr="00112FBD" w:rsidRDefault="00575799" w:rsidP="0081481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07DF3" w:rsidRPr="00112FBD" w:rsidRDefault="00814814" w:rsidP="00814814">
            <w:pPr>
              <w:rPr>
                <w:rFonts w:ascii="Montserrat" w:hAnsi="Montserrat" w:cs="Arial"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sz w:val="20"/>
                <w:szCs w:val="20"/>
              </w:rPr>
              <w:t>Porcentaje</w:t>
            </w:r>
          </w:p>
        </w:tc>
      </w:tr>
      <w:tr w:rsidR="00647733" w:rsidRPr="00112FBD" w:rsidTr="00617A54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112FBD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112FBD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52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647733" w:rsidRPr="00112FBD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112FBD" w:rsidTr="00617A54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112FBD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570859"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814814" w:rsidRPr="00112FBD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112FBD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52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647733" w:rsidRPr="00112FBD" w:rsidRDefault="00256A6C" w:rsidP="00B62F7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Frecuencia de medición: </w:t>
            </w:r>
            <w:r w:rsidR="00814814"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B62F75" w:rsidRPr="00112FBD">
              <w:rPr>
                <w:rFonts w:ascii="Montserrat" w:hAnsi="Montserrat" w:cs="Arial"/>
                <w:bCs/>
                <w:sz w:val="20"/>
                <w:szCs w:val="20"/>
              </w:rPr>
              <w:t>Anual (diciembre)</w:t>
            </w:r>
          </w:p>
        </w:tc>
      </w:tr>
      <w:tr w:rsidR="004C04C3" w:rsidRPr="00112FBD" w:rsidTr="00602D37">
        <w:tc>
          <w:tcPr>
            <w:tcW w:w="10440" w:type="dxa"/>
            <w:gridSpan w:val="27"/>
            <w:shd w:val="clear" w:color="auto" w:fill="C00000"/>
          </w:tcPr>
          <w:p w:rsidR="004C04C3" w:rsidRPr="00112FBD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112FBD" w:rsidTr="00617A54">
        <w:tc>
          <w:tcPr>
            <w:tcW w:w="1260" w:type="dxa"/>
            <w:gridSpan w:val="2"/>
            <w:shd w:val="clear" w:color="auto" w:fill="auto"/>
          </w:tcPr>
          <w:p w:rsidR="0053138B" w:rsidRPr="00112FBD" w:rsidRDefault="003F0F57" w:rsidP="003F0F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3138B" w:rsidRPr="00112FBD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112FBD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:rsidR="0053138B" w:rsidRPr="00112FBD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shd w:val="clear" w:color="auto" w:fill="auto"/>
          </w:tcPr>
          <w:p w:rsidR="0053138B" w:rsidRPr="00112FBD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</w:t>
            </w:r>
            <w:r w:rsidR="00173BAC"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5"/>
            <w:shd w:val="clear" w:color="auto" w:fill="auto"/>
          </w:tcPr>
          <w:p w:rsidR="0053138B" w:rsidRPr="00112FBD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173BAC"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53138B" w:rsidRPr="00112FBD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112FBD" w:rsidTr="00617A54">
        <w:tc>
          <w:tcPr>
            <w:tcW w:w="1260" w:type="dxa"/>
            <w:gridSpan w:val="2"/>
            <w:shd w:val="clear" w:color="auto" w:fill="auto"/>
            <w:vAlign w:val="center"/>
          </w:tcPr>
          <w:p w:rsidR="0053138B" w:rsidRPr="00112FBD" w:rsidRDefault="003F0F57" w:rsidP="007A5D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 xml:space="preserve">        </w:t>
            </w:r>
            <w:r w:rsidR="007A5DE1" w:rsidRPr="00112FBD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3138B" w:rsidRPr="00112FBD" w:rsidRDefault="003F0F57" w:rsidP="007A5D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7A5DE1" w:rsidRPr="00112FBD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112FBD" w:rsidRDefault="003F0F57" w:rsidP="003F0F5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 xml:space="preserve">        1</w:t>
            </w: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53138B" w:rsidRPr="00112FBD" w:rsidRDefault="0053138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:rsidR="0053138B" w:rsidRPr="00112FBD" w:rsidRDefault="003F0F57" w:rsidP="003F0F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 1</w:t>
            </w:r>
          </w:p>
        </w:tc>
        <w:tc>
          <w:tcPr>
            <w:tcW w:w="2118" w:type="dxa"/>
            <w:gridSpan w:val="5"/>
            <w:shd w:val="clear" w:color="auto" w:fill="auto"/>
            <w:vAlign w:val="center"/>
          </w:tcPr>
          <w:p w:rsidR="0053138B" w:rsidRPr="00112FBD" w:rsidRDefault="003F0F57" w:rsidP="003F0F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1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53138B" w:rsidRPr="00112FBD" w:rsidRDefault="00876C25" w:rsidP="007A5D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 xml:space="preserve">           </w:t>
            </w:r>
            <w:r w:rsidR="007A5DE1" w:rsidRPr="00112FBD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112FBD" w:rsidTr="00617A54">
        <w:tc>
          <w:tcPr>
            <w:tcW w:w="10440" w:type="dxa"/>
            <w:gridSpan w:val="27"/>
            <w:shd w:val="clear" w:color="auto" w:fill="auto"/>
          </w:tcPr>
          <w:p w:rsidR="00171537" w:rsidRPr="00112FBD" w:rsidRDefault="00171537" w:rsidP="00602D37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2A43B7" w:rsidRPr="00112FBD" w:rsidRDefault="002A43B7" w:rsidP="00602D37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F80A4E" w:rsidRPr="00112FBD" w:rsidRDefault="00F80A4E" w:rsidP="00602D37">
            <w:pPr>
              <w:tabs>
                <w:tab w:val="num" w:pos="540"/>
              </w:tabs>
              <w:rPr>
                <w:rFonts w:ascii="Montserrat" w:hAnsi="Montserrat" w:cs="Arial"/>
                <w:bCs/>
                <w:sz w:val="18"/>
                <w:szCs w:val="18"/>
              </w:rPr>
            </w:pPr>
            <w:r w:rsidRPr="00112FBD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112FBD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F80A4E" w:rsidRPr="00112FBD" w:rsidRDefault="00F80A4E" w:rsidP="00602D37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F80A4E" w:rsidRPr="00112FBD" w:rsidRDefault="00F80A4E" w:rsidP="00BD1EE7">
            <w:pPr>
              <w:tabs>
                <w:tab w:val="num" w:pos="540"/>
              </w:tabs>
              <w:rPr>
                <w:rFonts w:ascii="Montserrat" w:hAnsi="Montserrat" w:cs="Arial"/>
                <w:bCs/>
                <w:sz w:val="18"/>
                <w:szCs w:val="18"/>
              </w:rPr>
            </w:pPr>
            <w:r w:rsidRPr="00112FBD">
              <w:rPr>
                <w:rFonts w:ascii="Montserrat" w:hAnsi="Montserrat" w:cs="Arial"/>
                <w:b/>
                <w:bCs/>
                <w:sz w:val="18"/>
                <w:szCs w:val="18"/>
              </w:rPr>
              <w:lastRenderedPageBreak/>
              <w:t>Relevancia:</w:t>
            </w:r>
            <w:r w:rsidRPr="00112FBD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AB68B0" w:rsidRPr="00112FBD">
              <w:rPr>
                <w:rFonts w:ascii="Montserrat" w:hAnsi="Montserrat" w:cs="Arial"/>
                <w:bCs/>
                <w:sz w:val="18"/>
                <w:szCs w:val="18"/>
              </w:rPr>
              <w:t xml:space="preserve">Refleja </w:t>
            </w:r>
            <w:r w:rsidR="00505C14" w:rsidRPr="00112FBD">
              <w:rPr>
                <w:rFonts w:ascii="Montserrat" w:hAnsi="Montserrat" w:cs="Arial"/>
                <w:bCs/>
                <w:sz w:val="18"/>
                <w:szCs w:val="18"/>
              </w:rPr>
              <w:t xml:space="preserve">el porcentaje de alumnos </w:t>
            </w:r>
            <w:r w:rsidR="009714D4" w:rsidRPr="00112FBD">
              <w:rPr>
                <w:rFonts w:ascii="Montserrat" w:hAnsi="Montserrat" w:cs="Arial"/>
                <w:bCs/>
                <w:sz w:val="18"/>
                <w:szCs w:val="18"/>
              </w:rPr>
              <w:t xml:space="preserve">que concluyen </w:t>
            </w:r>
            <w:r w:rsidR="00505C14" w:rsidRPr="00112FBD">
              <w:rPr>
                <w:rFonts w:ascii="Montserrat" w:hAnsi="Montserrat" w:cs="Arial"/>
                <w:bCs/>
                <w:sz w:val="18"/>
                <w:szCs w:val="18"/>
              </w:rPr>
              <w:t xml:space="preserve">satisfactoriamente los cursos de </w:t>
            </w:r>
            <w:r w:rsidR="009714D4" w:rsidRPr="00112FBD">
              <w:rPr>
                <w:rFonts w:ascii="Montserrat" w:hAnsi="Montserrat" w:cs="Arial"/>
                <w:bCs/>
                <w:sz w:val="18"/>
                <w:szCs w:val="18"/>
              </w:rPr>
              <w:t xml:space="preserve">posgrado </w:t>
            </w:r>
            <w:r w:rsidR="00532917" w:rsidRPr="00112FBD">
              <w:rPr>
                <w:rFonts w:ascii="Montserrat" w:hAnsi="Montserrat" w:cs="Arial"/>
                <w:bCs/>
                <w:sz w:val="18"/>
                <w:szCs w:val="18"/>
              </w:rPr>
              <w:t>no</w:t>
            </w:r>
            <w:r w:rsidR="00BD1EE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9714D4" w:rsidRPr="00112FBD">
              <w:rPr>
                <w:rFonts w:ascii="Montserrat" w:hAnsi="Montserrat" w:cs="Arial"/>
                <w:bCs/>
                <w:sz w:val="18"/>
                <w:szCs w:val="18"/>
              </w:rPr>
              <w:t>clínicos de acuerdo a los tiempos señalados en los programas de estudio que pueden incorporarse a</w:t>
            </w:r>
            <w:r w:rsidR="00BD1EE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9714D4" w:rsidRPr="00112FBD">
              <w:rPr>
                <w:rFonts w:ascii="Montserrat" w:hAnsi="Montserrat" w:cs="Arial"/>
                <w:bCs/>
                <w:sz w:val="18"/>
                <w:szCs w:val="18"/>
              </w:rPr>
              <w:t>los sistemas de salud del país.</w:t>
            </w:r>
          </w:p>
          <w:p w:rsidR="00F80A4E" w:rsidRPr="00112FBD" w:rsidRDefault="00F80A4E" w:rsidP="00602D37">
            <w:pPr>
              <w:tabs>
                <w:tab w:val="num" w:pos="540"/>
              </w:tabs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F80A4E" w:rsidRPr="00112FBD" w:rsidRDefault="00F80A4E" w:rsidP="00602D37">
            <w:pPr>
              <w:tabs>
                <w:tab w:val="num" w:pos="540"/>
              </w:tabs>
              <w:rPr>
                <w:rFonts w:ascii="Montserrat" w:hAnsi="Montserrat" w:cs="Arial"/>
                <w:bCs/>
                <w:sz w:val="18"/>
                <w:szCs w:val="18"/>
              </w:rPr>
            </w:pPr>
            <w:r w:rsidRPr="00112FBD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112FBD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está presente en los sistemas de información institucionales</w:t>
            </w:r>
          </w:p>
          <w:p w:rsidR="00F80A4E" w:rsidRPr="00112FBD" w:rsidRDefault="00F80A4E" w:rsidP="00602D37">
            <w:pPr>
              <w:tabs>
                <w:tab w:val="num" w:pos="540"/>
              </w:tabs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F80A4E" w:rsidRPr="00112FBD" w:rsidRDefault="00F80A4E" w:rsidP="00602D37">
            <w:pPr>
              <w:tabs>
                <w:tab w:val="num" w:pos="540"/>
              </w:tabs>
              <w:rPr>
                <w:rFonts w:ascii="Montserrat" w:hAnsi="Montserrat" w:cs="Arial"/>
                <w:bCs/>
                <w:sz w:val="18"/>
                <w:szCs w:val="18"/>
              </w:rPr>
            </w:pPr>
            <w:r w:rsidRPr="00112FBD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r w:rsidRPr="00112FBD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9714D4" w:rsidRPr="00112FBD" w:rsidRDefault="009714D4" w:rsidP="00602D37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9714D4" w:rsidRPr="00602D37" w:rsidRDefault="009714D4" w:rsidP="00BD1EE7">
            <w:pPr>
              <w:tabs>
                <w:tab w:val="num" w:pos="540"/>
              </w:tabs>
              <w:rPr>
                <w:rFonts w:ascii="Montserrat" w:hAnsi="Montserrat" w:cs="Arial"/>
                <w:bCs/>
                <w:sz w:val="18"/>
                <w:szCs w:val="18"/>
              </w:rPr>
            </w:pPr>
            <w:r w:rsidRPr="00112FBD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112FBD">
              <w:rPr>
                <w:rFonts w:ascii="Montserrat" w:hAnsi="Montserrat" w:cs="Arial"/>
                <w:bCs/>
                <w:sz w:val="18"/>
                <w:szCs w:val="18"/>
              </w:rPr>
              <w:t>El indicador es adecuado ya que permite determinar la capacidad del sistema de posgrado no clínico</w:t>
            </w:r>
            <w:r w:rsidR="00BD1EE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Pr="00112FBD">
              <w:rPr>
                <w:rFonts w:ascii="Montserrat" w:hAnsi="Montserrat" w:cs="Arial"/>
                <w:bCs/>
                <w:sz w:val="18"/>
                <w:szCs w:val="18"/>
              </w:rPr>
              <w:t xml:space="preserve">para formar oportunamente a los profesionistas que ingresan </w:t>
            </w:r>
            <w:r w:rsidR="00531F97" w:rsidRPr="00112FBD">
              <w:rPr>
                <w:rFonts w:ascii="Montserrat" w:hAnsi="Montserrat" w:cs="Arial"/>
                <w:bCs/>
                <w:sz w:val="18"/>
                <w:szCs w:val="18"/>
              </w:rPr>
              <w:t>en la misma cohorte</w:t>
            </w:r>
          </w:p>
          <w:p w:rsidR="00532917" w:rsidRDefault="00532917" w:rsidP="00602D37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575799" w:rsidRDefault="009714D4" w:rsidP="00602D37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112FBD">
              <w:rPr>
                <w:rFonts w:ascii="Montserrat" w:hAnsi="Montserrat" w:cs="Arial"/>
                <w:bCs/>
                <w:sz w:val="18"/>
                <w:szCs w:val="18"/>
              </w:rPr>
              <w:t xml:space="preserve"> Denota la capacidad de la institución para propiciar la perm</w:t>
            </w:r>
            <w:r w:rsidR="00BD1EE7">
              <w:rPr>
                <w:rFonts w:ascii="Montserrat" w:hAnsi="Montserrat" w:cs="Arial"/>
                <w:bCs/>
                <w:sz w:val="18"/>
                <w:szCs w:val="18"/>
              </w:rPr>
              <w:t xml:space="preserve">anencia de los profesionales en </w:t>
            </w:r>
            <w:r w:rsidRPr="00112FBD">
              <w:rPr>
                <w:rFonts w:ascii="Montserrat" w:hAnsi="Montserrat" w:cs="Arial"/>
                <w:bCs/>
                <w:sz w:val="18"/>
                <w:szCs w:val="18"/>
              </w:rPr>
              <w:t>formación en función de su calidad académica y organizacional</w:t>
            </w:r>
          </w:p>
          <w:p w:rsidR="00BD1EE7" w:rsidRPr="00112FBD" w:rsidRDefault="00BD1EE7" w:rsidP="00602D37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112FBD" w:rsidTr="00617A54">
        <w:tc>
          <w:tcPr>
            <w:tcW w:w="10440" w:type="dxa"/>
            <w:gridSpan w:val="27"/>
            <w:shd w:val="clear" w:color="auto" w:fill="auto"/>
          </w:tcPr>
          <w:p w:rsidR="005E6741" w:rsidRPr="00112FBD" w:rsidRDefault="00AA719A" w:rsidP="00B44A5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112FBD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DD2F1B" w:rsidRPr="00112FBD">
              <w:rPr>
                <w:rFonts w:ascii="Montserrat" w:hAnsi="Montserrat" w:cs="Arial"/>
                <w:bCs/>
                <w:sz w:val="20"/>
                <w:szCs w:val="20"/>
              </w:rPr>
              <w:t>2011</w:t>
            </w:r>
            <w:r w:rsidR="003130E3" w:rsidRPr="00112FBD">
              <w:rPr>
                <w:rFonts w:ascii="Montserrat" w:hAnsi="Montserrat" w:cs="Arial"/>
                <w:bCs/>
                <w:sz w:val="20"/>
                <w:szCs w:val="20"/>
              </w:rPr>
              <w:t>,</w:t>
            </w:r>
            <w:r w:rsidR="00A236D3" w:rsidRPr="00112FBD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3130E3" w:rsidRPr="00112FBD">
              <w:rPr>
                <w:rFonts w:ascii="Montserrat" w:hAnsi="Montserrat" w:cs="Arial"/>
                <w:bCs/>
                <w:sz w:val="20"/>
                <w:szCs w:val="20"/>
              </w:rPr>
              <w:t>2012</w:t>
            </w:r>
            <w:r w:rsidR="009714D4" w:rsidRPr="00112FBD">
              <w:rPr>
                <w:rFonts w:ascii="Montserrat" w:hAnsi="Montserrat" w:cs="Arial"/>
                <w:bCs/>
                <w:sz w:val="20"/>
                <w:szCs w:val="20"/>
              </w:rPr>
              <w:t>, 2013, 2014, 2015</w:t>
            </w:r>
            <w:r w:rsidR="005512C2" w:rsidRPr="00112FBD">
              <w:rPr>
                <w:rFonts w:ascii="Montserrat" w:hAnsi="Montserrat" w:cs="Arial"/>
                <w:bCs/>
                <w:sz w:val="20"/>
                <w:szCs w:val="20"/>
              </w:rPr>
              <w:t>, 2016</w:t>
            </w:r>
            <w:r w:rsidR="0002710C" w:rsidRPr="00112FBD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2A0FFD" w:rsidRPr="00112FBD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532917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B34B7B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6521A4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605CE2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605CE2" w:rsidRPr="00605CE2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112FBD" w:rsidTr="00617A54">
        <w:tc>
          <w:tcPr>
            <w:tcW w:w="10440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5E6741" w:rsidRPr="00112FBD" w:rsidRDefault="00AA719A" w:rsidP="003F4CB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ED72E6" w:rsidRPr="00112FBD">
              <w:rPr>
                <w:rFonts w:ascii="Montserrat" w:hAnsi="Montserrat" w:cs="Arial"/>
                <w:bCs/>
                <w:sz w:val="20"/>
                <w:szCs w:val="20"/>
              </w:rPr>
              <w:t>CCINSHAE</w:t>
            </w:r>
            <w:r w:rsidR="003F4CBB" w:rsidRPr="00112FBD">
              <w:rPr>
                <w:rFonts w:ascii="Montserrat" w:hAnsi="Montserrat" w:cs="Arial"/>
                <w:bCs/>
                <w:sz w:val="20"/>
                <w:szCs w:val="20"/>
              </w:rPr>
              <w:t>:</w:t>
            </w:r>
            <w:r w:rsidR="00916E99" w:rsidRPr="00112FBD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ED72E6" w:rsidRPr="00112FBD">
              <w:rPr>
                <w:rFonts w:ascii="Montserrat" w:hAnsi="Montserrat" w:cs="Arial"/>
                <w:bCs/>
                <w:sz w:val="20"/>
                <w:szCs w:val="20"/>
              </w:rPr>
              <w:t>entidades coordinadas.</w:t>
            </w:r>
          </w:p>
        </w:tc>
      </w:tr>
      <w:tr w:rsidR="00712663" w:rsidRPr="00112FBD" w:rsidTr="00602D37">
        <w:tc>
          <w:tcPr>
            <w:tcW w:w="10440" w:type="dxa"/>
            <w:gridSpan w:val="27"/>
            <w:shd w:val="clear" w:color="auto" w:fill="C00000"/>
          </w:tcPr>
          <w:p w:rsidR="00712663" w:rsidRPr="00112FBD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112FBD" w:rsidTr="000B3355">
        <w:trPr>
          <w:gridAfter w:val="1"/>
          <w:wAfter w:w="42" w:type="dxa"/>
          <w:trHeight w:val="274"/>
        </w:trPr>
        <w:tc>
          <w:tcPr>
            <w:tcW w:w="4728" w:type="dxa"/>
            <w:gridSpan w:val="13"/>
            <w:shd w:val="clear" w:color="auto" w:fill="auto"/>
          </w:tcPr>
          <w:p w:rsidR="00270110" w:rsidRPr="00112FBD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112FBD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gridSpan w:val="11"/>
            <w:shd w:val="clear" w:color="auto" w:fill="auto"/>
          </w:tcPr>
          <w:p w:rsidR="00270110" w:rsidRPr="00112FBD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4B57FB" w:rsidRPr="00112FBD" w:rsidTr="000B3355">
        <w:trPr>
          <w:gridAfter w:val="1"/>
          <w:wAfter w:w="42" w:type="dxa"/>
          <w:trHeight w:val="274"/>
        </w:trPr>
        <w:tc>
          <w:tcPr>
            <w:tcW w:w="1042" w:type="dxa"/>
            <w:shd w:val="clear" w:color="auto" w:fill="auto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Valor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4B57FB" w:rsidRPr="00112FBD" w:rsidRDefault="00F450C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</w:t>
            </w:r>
            <w:r w:rsidR="004B57FB"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7"/>
            <w:shd w:val="clear" w:color="auto" w:fill="auto"/>
          </w:tcPr>
          <w:p w:rsidR="004B57FB" w:rsidRPr="00112FBD" w:rsidRDefault="004B57FB" w:rsidP="0081637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Valor  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4B57FB" w:rsidRPr="00112FBD" w:rsidRDefault="004B57FB" w:rsidP="00C46F6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4B57FB" w:rsidRPr="00112FBD" w:rsidTr="000B3355">
        <w:trPr>
          <w:gridAfter w:val="1"/>
          <w:wAfter w:w="42" w:type="dxa"/>
          <w:trHeight w:val="274"/>
        </w:trPr>
        <w:tc>
          <w:tcPr>
            <w:tcW w:w="1042" w:type="dxa"/>
            <w:shd w:val="clear" w:color="auto" w:fill="auto"/>
            <w:vAlign w:val="center"/>
          </w:tcPr>
          <w:p w:rsidR="004B57FB" w:rsidRPr="00112FBD" w:rsidRDefault="00916E99" w:rsidP="00FC044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80.9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B57FB" w:rsidRPr="00112FBD" w:rsidRDefault="00916E99" w:rsidP="00617A5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2011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4B57FB" w:rsidRPr="00112FBD" w:rsidRDefault="004B57FB" w:rsidP="004E43A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 xml:space="preserve">       </w:t>
            </w:r>
            <w:r w:rsidR="004E43A5" w:rsidRPr="00112FBD">
              <w:rPr>
                <w:rFonts w:ascii="Montserrat" w:hAnsi="Montserrat" w:cs="Arial"/>
                <w:bCs/>
                <w:sz w:val="20"/>
                <w:szCs w:val="20"/>
              </w:rPr>
              <w:t>Enero</w:t>
            </w: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 xml:space="preserve"> - Diciembre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7"/>
            <w:shd w:val="clear" w:color="auto" w:fill="auto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4B57FB" w:rsidRPr="00112FBD" w:rsidRDefault="001C5EE6" w:rsidP="001C5EE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Enero</w:t>
            </w:r>
            <w:r w:rsidR="004B57FB" w:rsidRPr="00112FBD">
              <w:rPr>
                <w:rFonts w:ascii="Montserrat" w:hAnsi="Montserrat" w:cs="Arial"/>
                <w:bCs/>
                <w:sz w:val="20"/>
                <w:szCs w:val="20"/>
              </w:rPr>
              <w:t xml:space="preserve"> - Diciembre</w:t>
            </w:r>
          </w:p>
        </w:tc>
      </w:tr>
      <w:tr w:rsidR="004B57FB" w:rsidRPr="00112FBD" w:rsidTr="000B3355">
        <w:trPr>
          <w:gridAfter w:val="1"/>
          <w:wAfter w:w="42" w:type="dxa"/>
          <w:trHeight w:val="274"/>
        </w:trPr>
        <w:tc>
          <w:tcPr>
            <w:tcW w:w="4728" w:type="dxa"/>
            <w:gridSpan w:val="13"/>
            <w:shd w:val="clear" w:color="auto" w:fill="auto"/>
          </w:tcPr>
          <w:p w:rsidR="004B57FB" w:rsidRPr="00112FBD" w:rsidRDefault="004B57FB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Comportamiento del indicador hacia la 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gridSpan w:val="11"/>
            <w:shd w:val="clear" w:color="auto" w:fill="auto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4B57FB" w:rsidRPr="00112FBD" w:rsidTr="000B3355">
        <w:trPr>
          <w:gridAfter w:val="1"/>
          <w:wAfter w:w="42" w:type="dxa"/>
          <w:trHeight w:val="274"/>
        </w:trPr>
        <w:tc>
          <w:tcPr>
            <w:tcW w:w="4728" w:type="dxa"/>
            <w:gridSpan w:val="13"/>
            <w:shd w:val="clear" w:color="auto" w:fill="auto"/>
          </w:tcPr>
          <w:p w:rsidR="004B57FB" w:rsidRPr="00112FBD" w:rsidRDefault="003F4CBB" w:rsidP="006F76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Verde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Amarillo</w:t>
            </w:r>
          </w:p>
        </w:tc>
        <w:tc>
          <w:tcPr>
            <w:tcW w:w="1701" w:type="dxa"/>
            <w:shd w:val="clear" w:color="auto" w:fill="auto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Rojo</w:t>
            </w:r>
          </w:p>
        </w:tc>
      </w:tr>
      <w:tr w:rsidR="00AE52E2" w:rsidRPr="00112FBD" w:rsidTr="000B3355">
        <w:trPr>
          <w:gridAfter w:val="1"/>
          <w:wAfter w:w="42" w:type="dxa"/>
          <w:trHeight w:val="274"/>
        </w:trPr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52E2" w:rsidRPr="00112FBD" w:rsidRDefault="00AE52E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  <w:p w:rsidR="003F4CBB" w:rsidRPr="00112FBD" w:rsidRDefault="003F4CB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Regular</w:t>
            </w:r>
          </w:p>
        </w:tc>
        <w:tc>
          <w:tcPr>
            <w:tcW w:w="26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E52E2" w:rsidRPr="00112FBD" w:rsidRDefault="00AE52E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E52E2" w:rsidRPr="00112FBD" w:rsidRDefault="00AE52E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E52E2" w:rsidRPr="00112FBD" w:rsidRDefault="00AE52E2" w:rsidP="00AE52E2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112FBD">
              <w:rPr>
                <w:rFonts w:ascii="Montserrat" w:hAnsi="Montserrat" w:cs="Arial"/>
                <w:bCs/>
                <w:sz w:val="18"/>
                <w:szCs w:val="18"/>
              </w:rPr>
              <w:t>95 % &lt;= X &lt;= 105%</w:t>
            </w:r>
          </w:p>
          <w:p w:rsidR="00AE52E2" w:rsidRPr="00112FBD" w:rsidRDefault="00AE52E2" w:rsidP="00AE52E2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E52E2" w:rsidRPr="00112FBD" w:rsidRDefault="00AE52E2" w:rsidP="00AE52E2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112FBD">
              <w:rPr>
                <w:rFonts w:ascii="Montserrat" w:hAnsi="Montserrat" w:cs="Arial"/>
                <w:bCs/>
                <w:sz w:val="18"/>
                <w:szCs w:val="18"/>
              </w:rPr>
              <w:t xml:space="preserve">90 % &lt;= X &lt; 95% </w:t>
            </w:r>
          </w:p>
          <w:p w:rsidR="00AE52E2" w:rsidRPr="00112FBD" w:rsidRDefault="00AE52E2" w:rsidP="00AE52E2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112FBD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</w:p>
          <w:p w:rsidR="00AE52E2" w:rsidRPr="00112FBD" w:rsidRDefault="00AE52E2" w:rsidP="00DF7F42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18"/>
                <w:szCs w:val="18"/>
              </w:rPr>
              <w:t>105% &lt; X &lt;= 110%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E52E2" w:rsidRPr="00112FBD" w:rsidRDefault="00AE52E2" w:rsidP="00AE52E2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112FBD">
              <w:rPr>
                <w:rFonts w:ascii="Montserrat" w:hAnsi="Montserrat" w:cs="Arial"/>
                <w:bCs/>
                <w:sz w:val="18"/>
                <w:szCs w:val="18"/>
              </w:rPr>
              <w:t>X &lt; 90%</w:t>
            </w:r>
          </w:p>
          <w:p w:rsidR="00AE52E2" w:rsidRPr="00112FBD" w:rsidRDefault="00AE52E2" w:rsidP="00AE52E2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112FBD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</w:p>
          <w:p w:rsidR="00AE52E2" w:rsidRPr="00112FBD" w:rsidRDefault="00AE52E2" w:rsidP="00DF7F42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18"/>
                <w:szCs w:val="18"/>
              </w:rPr>
              <w:t xml:space="preserve">X </w:t>
            </w:r>
            <w:r w:rsidRPr="00112FBD">
              <w:rPr>
                <w:rFonts w:ascii="Montserrat" w:hAnsi="Montserrat" w:cs="Arial"/>
                <w:bCs/>
                <w:sz w:val="16"/>
                <w:szCs w:val="18"/>
              </w:rPr>
              <w:t>&gt;</w:t>
            </w:r>
            <w:r w:rsidRPr="00112FBD">
              <w:rPr>
                <w:rFonts w:ascii="Montserrat" w:hAnsi="Montserrat" w:cs="Arial"/>
                <w:bCs/>
                <w:sz w:val="18"/>
                <w:szCs w:val="18"/>
              </w:rPr>
              <w:t>110%</w:t>
            </w:r>
          </w:p>
        </w:tc>
      </w:tr>
      <w:tr w:rsidR="004B57FB" w:rsidRPr="00112FBD" w:rsidTr="00602D37">
        <w:trPr>
          <w:trHeight w:val="274"/>
        </w:trPr>
        <w:tc>
          <w:tcPr>
            <w:tcW w:w="10440" w:type="dxa"/>
            <w:gridSpan w:val="27"/>
            <w:tcBorders>
              <w:bottom w:val="single" w:sz="4" w:space="0" w:color="auto"/>
            </w:tcBorders>
            <w:shd w:val="clear" w:color="auto" w:fill="C00000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4B57FB" w:rsidRPr="00112FBD" w:rsidTr="00617A54">
        <w:trPr>
          <w:trHeight w:val="274"/>
        </w:trPr>
        <w:tc>
          <w:tcPr>
            <w:tcW w:w="10440" w:type="dxa"/>
            <w:gridSpan w:val="27"/>
            <w:shd w:val="clear" w:color="auto" w:fill="auto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Variables </w:t>
            </w:r>
          </w:p>
        </w:tc>
      </w:tr>
      <w:tr w:rsidR="004B57FB" w:rsidRPr="00112FBD" w:rsidTr="00617A54">
        <w:trPr>
          <w:trHeight w:val="148"/>
        </w:trPr>
        <w:tc>
          <w:tcPr>
            <w:tcW w:w="5400" w:type="dxa"/>
            <w:gridSpan w:val="17"/>
            <w:shd w:val="clear" w:color="auto" w:fill="auto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shd w:val="clear" w:color="auto" w:fill="auto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4B57FB" w:rsidRPr="00112FBD" w:rsidTr="00617A54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:rsidR="004B57FB" w:rsidRPr="00112FBD" w:rsidRDefault="004B57FB" w:rsidP="00602D37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3F4CBB" w:rsidRPr="00112FBD" w:rsidRDefault="003B4F37" w:rsidP="00602D37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sz w:val="20"/>
                <w:szCs w:val="20"/>
              </w:rPr>
              <w:t xml:space="preserve">Número de profesionales de </w:t>
            </w:r>
            <w:r w:rsidRPr="00112FBD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especializaciones no clínicas, maestrías y doctorados</w:t>
            </w:r>
            <w:r w:rsidRPr="00112FBD">
              <w:rPr>
                <w:rFonts w:ascii="Montserrat" w:hAnsi="Montserrat" w:cs="Arial"/>
                <w:sz w:val="20"/>
                <w:szCs w:val="20"/>
              </w:rPr>
              <w:t xml:space="preserve"> de la misma cohorte con constancia de terminación </w:t>
            </w:r>
          </w:p>
          <w:p w:rsidR="00762713" w:rsidRPr="00112FBD" w:rsidRDefault="00762713" w:rsidP="00602D37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4B57FB" w:rsidRPr="00112FBD" w:rsidRDefault="004B57FB" w:rsidP="00602D37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V2</w:t>
            </w:r>
          </w:p>
          <w:p w:rsidR="004B57FB" w:rsidRPr="00112FBD" w:rsidRDefault="00936C72" w:rsidP="00602D37">
            <w:pPr>
              <w:tabs>
                <w:tab w:val="num" w:pos="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sz w:val="20"/>
                <w:szCs w:val="20"/>
              </w:rPr>
              <w:t xml:space="preserve">Total de profesionales </w:t>
            </w:r>
            <w:r w:rsidRPr="00112FBD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de especializaciones no clínicas, maestrías y doctorados</w:t>
            </w:r>
            <w:r w:rsidRPr="00112FBD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112FBD">
              <w:rPr>
                <w:rFonts w:ascii="Montserrat" w:hAnsi="Montserrat" w:cs="Arial"/>
                <w:sz w:val="20"/>
                <w:szCs w:val="20"/>
              </w:rPr>
              <w:t>inscritos en la misma cohorte</w:t>
            </w:r>
          </w:p>
        </w:tc>
        <w:tc>
          <w:tcPr>
            <w:tcW w:w="360" w:type="dxa"/>
            <w:vMerge/>
            <w:shd w:val="clear" w:color="auto" w:fill="auto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shd w:val="clear" w:color="auto" w:fill="auto"/>
          </w:tcPr>
          <w:p w:rsidR="00762713" w:rsidRPr="00112FBD" w:rsidRDefault="00762713" w:rsidP="00762713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952B35" w:rsidRPr="00112FBD" w:rsidRDefault="00DA594E" w:rsidP="00762713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sz w:val="20"/>
                <w:szCs w:val="20"/>
              </w:rPr>
              <w:t xml:space="preserve">Profesionales </w:t>
            </w:r>
            <w:r w:rsidR="003F4CBB" w:rsidRPr="00112FBD">
              <w:rPr>
                <w:rFonts w:ascii="Montserrat" w:hAnsi="Montserrat" w:cs="Arial"/>
                <w:sz w:val="20"/>
                <w:szCs w:val="20"/>
              </w:rPr>
              <w:t xml:space="preserve">en áreas de la salud </w:t>
            </w:r>
            <w:r w:rsidR="003B1EBD" w:rsidRPr="00112FBD">
              <w:rPr>
                <w:rFonts w:ascii="Montserrat" w:hAnsi="Montserrat" w:cs="Arial"/>
                <w:sz w:val="20"/>
                <w:szCs w:val="20"/>
              </w:rPr>
              <w:t xml:space="preserve">de la misma cohorte </w:t>
            </w:r>
            <w:r w:rsidR="003F4CBB" w:rsidRPr="00112FBD">
              <w:rPr>
                <w:rFonts w:ascii="Montserrat" w:hAnsi="Montserrat" w:cs="Arial"/>
                <w:sz w:val="20"/>
                <w:szCs w:val="20"/>
              </w:rPr>
              <w:t xml:space="preserve">que concluyen estudios de </w:t>
            </w:r>
            <w:r w:rsidR="003B1EBD" w:rsidRPr="00112FBD">
              <w:rPr>
                <w:rFonts w:ascii="Montserrat" w:hAnsi="Montserrat" w:cs="Arial"/>
                <w:sz w:val="20"/>
                <w:szCs w:val="20"/>
              </w:rPr>
              <w:t>especialidad no clínica, maestrí</w:t>
            </w:r>
            <w:r w:rsidR="003F4CBB" w:rsidRPr="00112FBD">
              <w:rPr>
                <w:rFonts w:ascii="Montserrat" w:hAnsi="Montserrat" w:cs="Arial"/>
                <w:sz w:val="20"/>
                <w:szCs w:val="20"/>
              </w:rPr>
              <w:t>a y doctorado</w:t>
            </w:r>
          </w:p>
          <w:p w:rsidR="003F4CBB" w:rsidRPr="00112FBD" w:rsidRDefault="003F4CBB" w:rsidP="00762713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762713" w:rsidRPr="00112FBD" w:rsidRDefault="00762713" w:rsidP="00762713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3F4CBB" w:rsidRPr="00112FBD" w:rsidRDefault="003F4CBB" w:rsidP="00762713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sz w:val="20"/>
                <w:szCs w:val="20"/>
              </w:rPr>
              <w:t xml:space="preserve">Profesionales en áreas de la salud </w:t>
            </w:r>
            <w:r w:rsidR="00B643CF" w:rsidRPr="00112FBD">
              <w:rPr>
                <w:rFonts w:ascii="Montserrat" w:hAnsi="Montserrat" w:cs="Arial"/>
                <w:sz w:val="20"/>
                <w:szCs w:val="20"/>
              </w:rPr>
              <w:t xml:space="preserve">de la misma cohorte </w:t>
            </w:r>
            <w:r w:rsidRPr="00112FBD">
              <w:rPr>
                <w:rFonts w:ascii="Montserrat" w:hAnsi="Montserrat" w:cs="Arial"/>
                <w:sz w:val="20"/>
                <w:szCs w:val="20"/>
              </w:rPr>
              <w:t xml:space="preserve">inscritos a estudios de </w:t>
            </w:r>
            <w:r w:rsidR="002739E5" w:rsidRPr="00112FBD">
              <w:rPr>
                <w:rFonts w:ascii="Montserrat" w:hAnsi="Montserrat" w:cs="Arial"/>
                <w:sz w:val="20"/>
                <w:szCs w:val="20"/>
              </w:rPr>
              <w:t>especialidad no clínica, maestrí</w:t>
            </w:r>
            <w:r w:rsidRPr="00112FBD">
              <w:rPr>
                <w:rFonts w:ascii="Montserrat" w:hAnsi="Montserrat" w:cs="Arial"/>
                <w:sz w:val="20"/>
                <w:szCs w:val="20"/>
              </w:rPr>
              <w:t>a y doctorado</w:t>
            </w:r>
          </w:p>
          <w:p w:rsidR="0044179F" w:rsidRPr="00112FBD" w:rsidRDefault="0044179F" w:rsidP="000E1BFA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4B57FB" w:rsidRPr="00112FBD" w:rsidTr="00617A54">
        <w:trPr>
          <w:trHeight w:val="285"/>
        </w:trPr>
        <w:tc>
          <w:tcPr>
            <w:tcW w:w="5400" w:type="dxa"/>
            <w:gridSpan w:val="17"/>
            <w:shd w:val="clear" w:color="auto" w:fill="auto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53291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360" w:type="dxa"/>
            <w:vMerge/>
            <w:shd w:val="clear" w:color="auto" w:fill="auto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shd w:val="clear" w:color="auto" w:fill="auto"/>
          </w:tcPr>
          <w:p w:rsidR="004B57FB" w:rsidRPr="00112FBD" w:rsidRDefault="004B57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B643CF" w:rsidRPr="00112FBD" w:rsidTr="00617A54">
        <w:trPr>
          <w:trHeight w:val="269"/>
        </w:trPr>
        <w:tc>
          <w:tcPr>
            <w:tcW w:w="5400" w:type="dxa"/>
            <w:gridSpan w:val="17"/>
            <w:shd w:val="clear" w:color="auto" w:fill="auto"/>
          </w:tcPr>
          <w:p w:rsidR="00B643CF" w:rsidRPr="00112FBD" w:rsidRDefault="00B643CF" w:rsidP="00602D37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812DD6" w:rsidRPr="00312615" w:rsidRDefault="00A83052" w:rsidP="00602D37">
            <w:pPr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12615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024B22" w:rsidRPr="00312615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31261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17503D" w:rsidRPr="0031261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Informe </w:t>
            </w:r>
            <w:r w:rsidR="0002710C" w:rsidRPr="0031261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de </w:t>
            </w:r>
            <w:r w:rsidR="002902EB" w:rsidRPr="00312615">
              <w:rPr>
                <w:rFonts w:ascii="Montserrat" w:hAnsi="Montserrat" w:cs="Arial"/>
                <w:b/>
                <w:bCs/>
                <w:sz w:val="18"/>
                <w:szCs w:val="18"/>
              </w:rPr>
              <w:t>D</w:t>
            </w:r>
            <w:r w:rsidR="0002710C" w:rsidRPr="0031261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esempeño </w:t>
            </w:r>
            <w:r w:rsidR="002902EB" w:rsidRPr="0031261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MIR </w:t>
            </w:r>
            <w:r w:rsidR="0002710C" w:rsidRPr="00312615">
              <w:rPr>
                <w:rFonts w:ascii="Montserrat" w:hAnsi="Montserrat" w:cs="Arial"/>
                <w:b/>
                <w:bCs/>
                <w:sz w:val="18"/>
                <w:szCs w:val="18"/>
              </w:rPr>
              <w:t>E010</w:t>
            </w:r>
            <w:r w:rsidR="00DE4E1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, </w:t>
            </w:r>
            <w:r w:rsidR="00DE4E13" w:rsidRPr="00605CE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605CE2" w:rsidRPr="00605CE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312615" w:rsidRPr="00605CE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024B22" w:rsidRPr="00112FBD" w:rsidRDefault="00092E57" w:rsidP="00602D37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Eficiencia terminal de especializaciones no clínicas,</w:t>
            </w:r>
            <w:r w:rsidR="00EF783D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maestrías y doctorados</w:t>
            </w:r>
          </w:p>
          <w:p w:rsidR="00362117" w:rsidRPr="00602D37" w:rsidRDefault="00024B22" w:rsidP="00602D37">
            <w:pPr>
              <w:tabs>
                <w:tab w:val="num" w:pos="0"/>
              </w:tabs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  <w:r w:rsidRPr="00602D37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705E7E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ccinshae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.gob.mx/</w:t>
            </w:r>
            <w:r w:rsidR="00705E7E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DCPE/E010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/Eficiencia</w:t>
            </w:r>
            <w:r w:rsidR="00B8718D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terminal</w:t>
            </w:r>
            <w:r w:rsidR="00B8718D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B8718D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especializaciones</w:t>
            </w:r>
            <w:r w:rsidR="00B8718D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no</w:t>
            </w:r>
            <w:r w:rsidR="00B8718D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cl</w:t>
            </w:r>
            <w:r w:rsidR="00705E7E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i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nicas,</w:t>
            </w:r>
            <w:r w:rsidR="00B8718D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maestr</w:t>
            </w:r>
            <w:r w:rsidR="00705E7E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i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as</w:t>
            </w:r>
            <w:r w:rsidR="00B8718D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y</w:t>
            </w:r>
            <w:r w:rsidR="00B8718D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doctorados</w:t>
            </w:r>
          </w:p>
          <w:p w:rsidR="00DE4E13" w:rsidRPr="000A1CD8" w:rsidRDefault="00024B22" w:rsidP="00DE4E13">
            <w:pPr>
              <w:ind w:right="175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602D37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Operativo:</w:t>
            </w:r>
            <w:r w:rsidRPr="00602D37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DE4E13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Lic. Raymundo Reyes Mendieta</w:t>
            </w:r>
          </w:p>
          <w:p w:rsidR="00B643CF" w:rsidRPr="00112FBD" w:rsidRDefault="00024B22" w:rsidP="00924FF5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602D37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Directivo</w:t>
            </w:r>
            <w:r w:rsidRPr="00A440BB">
              <w:rPr>
                <w:rFonts w:ascii="Montserrat" w:hAnsi="Montserrat" w:cs="Arial"/>
                <w:b/>
                <w:bCs/>
                <w:sz w:val="16"/>
                <w:szCs w:val="16"/>
              </w:rPr>
              <w:t>:</w:t>
            </w:r>
            <w:r w:rsidRPr="00A440BB">
              <w:rPr>
                <w:rFonts w:ascii="Montserrat" w:hAnsi="Montserrat" w:cs="Arial"/>
                <w:bCs/>
                <w:sz w:val="16"/>
                <w:szCs w:val="16"/>
              </w:rPr>
              <w:t xml:space="preserve"> Dr. </w:t>
            </w:r>
            <w:proofErr w:type="spellStart"/>
            <w:r w:rsidR="00924FF5" w:rsidRPr="00A440BB">
              <w:rPr>
                <w:rFonts w:ascii="Montserrat" w:hAnsi="Montserrat" w:cs="Arial"/>
                <w:bCs/>
                <w:sz w:val="16"/>
                <w:szCs w:val="16"/>
              </w:rPr>
              <w:t>Simon</w:t>
            </w:r>
            <w:proofErr w:type="spellEnd"/>
            <w:r w:rsidR="00924FF5" w:rsidRPr="00A440BB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proofErr w:type="spellStart"/>
            <w:r w:rsidR="00924FF5" w:rsidRPr="00A440BB">
              <w:rPr>
                <w:rFonts w:ascii="Montserrat" w:hAnsi="Montserrat" w:cs="Arial"/>
                <w:bCs/>
                <w:sz w:val="16"/>
                <w:szCs w:val="16"/>
              </w:rPr>
              <w:t>Kawa</w:t>
            </w:r>
            <w:proofErr w:type="spellEnd"/>
            <w:r w:rsidR="00924FF5" w:rsidRPr="00A440BB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proofErr w:type="spellStart"/>
            <w:r w:rsidR="00924FF5" w:rsidRPr="00A440BB">
              <w:rPr>
                <w:rFonts w:ascii="Montserrat" w:hAnsi="Montserrat" w:cs="Arial"/>
                <w:bCs/>
                <w:sz w:val="16"/>
                <w:szCs w:val="16"/>
              </w:rPr>
              <w:t>Karasik</w:t>
            </w:r>
            <w:proofErr w:type="spellEnd"/>
          </w:p>
        </w:tc>
        <w:tc>
          <w:tcPr>
            <w:tcW w:w="360" w:type="dxa"/>
            <w:vMerge/>
            <w:shd w:val="clear" w:color="auto" w:fill="auto"/>
          </w:tcPr>
          <w:p w:rsidR="00B643CF" w:rsidRPr="00112FBD" w:rsidRDefault="00B643C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shd w:val="clear" w:color="auto" w:fill="auto"/>
          </w:tcPr>
          <w:p w:rsidR="00B643CF" w:rsidRPr="00112FBD" w:rsidRDefault="00B643CF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B643CF" w:rsidRPr="00112FBD" w:rsidRDefault="00B643CF" w:rsidP="0036494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Profesional de la salud</w:t>
            </w:r>
          </w:p>
          <w:p w:rsidR="00B643CF" w:rsidRPr="00112FBD" w:rsidRDefault="00B643CF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B643CF" w:rsidRPr="00112FBD" w:rsidTr="00617A54">
        <w:trPr>
          <w:trHeight w:val="272"/>
        </w:trPr>
        <w:tc>
          <w:tcPr>
            <w:tcW w:w="5400" w:type="dxa"/>
            <w:gridSpan w:val="17"/>
            <w:shd w:val="clear" w:color="auto" w:fill="auto"/>
          </w:tcPr>
          <w:p w:rsidR="00B643CF" w:rsidRPr="00112FBD" w:rsidRDefault="00B643CF" w:rsidP="00602D37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812DD6" w:rsidRPr="00312615" w:rsidRDefault="00A83052" w:rsidP="00602D37">
            <w:pPr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12615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024B22" w:rsidRPr="00312615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31261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812DD6" w:rsidRPr="00312615">
              <w:rPr>
                <w:rFonts w:ascii="Montserrat" w:hAnsi="Montserrat" w:cs="Arial"/>
                <w:b/>
                <w:bCs/>
                <w:sz w:val="18"/>
                <w:szCs w:val="18"/>
              </w:rPr>
              <w:t>In</w:t>
            </w:r>
            <w:r w:rsidR="0002710C" w:rsidRPr="0031261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forme de </w:t>
            </w:r>
            <w:r w:rsidR="002902EB" w:rsidRPr="00312615">
              <w:rPr>
                <w:rFonts w:ascii="Montserrat" w:hAnsi="Montserrat" w:cs="Arial"/>
                <w:b/>
                <w:bCs/>
                <w:sz w:val="18"/>
                <w:szCs w:val="18"/>
              </w:rPr>
              <w:t>D</w:t>
            </w:r>
            <w:r w:rsidR="0002710C" w:rsidRPr="0031261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esempeño </w:t>
            </w:r>
            <w:r w:rsidR="002902EB" w:rsidRPr="0031261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MIR </w:t>
            </w:r>
            <w:r w:rsidR="0002710C" w:rsidRPr="00312615">
              <w:rPr>
                <w:rFonts w:ascii="Montserrat" w:hAnsi="Montserrat" w:cs="Arial"/>
                <w:b/>
                <w:bCs/>
                <w:sz w:val="18"/>
                <w:szCs w:val="18"/>
              </w:rPr>
              <w:t>E010</w:t>
            </w:r>
            <w:r w:rsidR="00DE4E1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, </w:t>
            </w:r>
            <w:r w:rsidR="00DE4E13" w:rsidRPr="00605CE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605CE2" w:rsidRPr="00605CE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</w:p>
          <w:p w:rsidR="00024B22" w:rsidRPr="00112FBD" w:rsidRDefault="00092E57" w:rsidP="00602D37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Eficiencia terminal de especializaciones no clínicas,</w:t>
            </w:r>
            <w:r w:rsidR="00EF783D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maestrías y doctorados</w:t>
            </w:r>
          </w:p>
          <w:p w:rsidR="00362117" w:rsidRPr="00602D37" w:rsidRDefault="00024B22" w:rsidP="00602D37">
            <w:pPr>
              <w:tabs>
                <w:tab w:val="num" w:pos="0"/>
              </w:tabs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  <w:r w:rsidRPr="00602D37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701E56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ccinshae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.gob.mx/</w:t>
            </w:r>
            <w:r w:rsidR="00701E56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DCPE/E010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/Eficiencia</w:t>
            </w:r>
            <w:r w:rsidR="00B8718D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terminal</w:t>
            </w:r>
            <w:r w:rsidR="00B8718D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B8718D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especializaciones</w:t>
            </w:r>
            <w:r w:rsidR="00B8718D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no</w:t>
            </w:r>
            <w:r w:rsidR="00B8718D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cl</w:t>
            </w:r>
            <w:r w:rsidR="00701E56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i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nicas,</w:t>
            </w:r>
            <w:r w:rsidR="00B8718D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maestr</w:t>
            </w:r>
            <w:r w:rsidR="00701E56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i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as</w:t>
            </w:r>
            <w:r w:rsidR="00B8718D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y</w:t>
            </w:r>
            <w:r w:rsidR="00B8718D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62117" w:rsidRPr="00602D37">
              <w:rPr>
                <w:rFonts w:ascii="Montserrat" w:hAnsi="Montserrat" w:cs="Arial"/>
                <w:bCs/>
                <w:i/>
                <w:sz w:val="16"/>
                <w:szCs w:val="16"/>
              </w:rPr>
              <w:t>doctorados</w:t>
            </w:r>
          </w:p>
          <w:p w:rsidR="00024B22" w:rsidRPr="00F1762A" w:rsidRDefault="00024B22" w:rsidP="00F1762A">
            <w:pPr>
              <w:ind w:right="175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602D37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Operativo:</w:t>
            </w:r>
            <w:r w:rsidRPr="00602D37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DE4E13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Lic. Raymundo Reyes Mendieta</w:t>
            </w:r>
          </w:p>
          <w:p w:rsidR="00B643CF" w:rsidRPr="00112FBD" w:rsidRDefault="00024B22" w:rsidP="00602D37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602D37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Directivo:</w:t>
            </w:r>
            <w:r w:rsidRPr="00602D37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A440BB" w:rsidRPr="00A440BB">
              <w:rPr>
                <w:rFonts w:ascii="Montserrat" w:hAnsi="Montserrat" w:cs="Arial"/>
                <w:bCs/>
                <w:sz w:val="16"/>
                <w:szCs w:val="16"/>
              </w:rPr>
              <w:t xml:space="preserve">Dr. </w:t>
            </w:r>
            <w:proofErr w:type="spellStart"/>
            <w:r w:rsidR="00A440BB" w:rsidRPr="00A440BB">
              <w:rPr>
                <w:rFonts w:ascii="Montserrat" w:hAnsi="Montserrat" w:cs="Arial"/>
                <w:bCs/>
                <w:sz w:val="16"/>
                <w:szCs w:val="16"/>
              </w:rPr>
              <w:t>Simon</w:t>
            </w:r>
            <w:proofErr w:type="spellEnd"/>
            <w:r w:rsidR="00A440BB" w:rsidRPr="00A440BB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proofErr w:type="spellStart"/>
            <w:r w:rsidR="00A440BB" w:rsidRPr="00A440BB">
              <w:rPr>
                <w:rFonts w:ascii="Montserrat" w:hAnsi="Montserrat" w:cs="Arial"/>
                <w:bCs/>
                <w:sz w:val="16"/>
                <w:szCs w:val="16"/>
              </w:rPr>
              <w:t>Kawa</w:t>
            </w:r>
            <w:proofErr w:type="spellEnd"/>
            <w:r w:rsidR="00A440BB" w:rsidRPr="00A440BB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proofErr w:type="spellStart"/>
            <w:r w:rsidR="00A440BB" w:rsidRPr="00A440BB">
              <w:rPr>
                <w:rFonts w:ascii="Montserrat" w:hAnsi="Montserrat" w:cs="Arial"/>
                <w:bCs/>
                <w:sz w:val="16"/>
                <w:szCs w:val="16"/>
              </w:rPr>
              <w:t>Karasik</w:t>
            </w:r>
            <w:proofErr w:type="spellEnd"/>
          </w:p>
        </w:tc>
        <w:tc>
          <w:tcPr>
            <w:tcW w:w="360" w:type="dxa"/>
            <w:vMerge/>
            <w:shd w:val="clear" w:color="auto" w:fill="auto"/>
          </w:tcPr>
          <w:p w:rsidR="00B643CF" w:rsidRPr="00112FBD" w:rsidRDefault="00B643C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shd w:val="clear" w:color="auto" w:fill="auto"/>
          </w:tcPr>
          <w:p w:rsidR="00B643CF" w:rsidRDefault="00B643CF" w:rsidP="00353BA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EF783D" w:rsidRPr="00112FBD" w:rsidRDefault="00EF783D" w:rsidP="00353BA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B643CF" w:rsidRPr="00112FBD" w:rsidRDefault="00B643CF" w:rsidP="00DA594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Profesional de la salud</w:t>
            </w:r>
          </w:p>
          <w:p w:rsidR="00B643CF" w:rsidRPr="00112FBD" w:rsidRDefault="00B643CF" w:rsidP="00353BA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B643CF" w:rsidRPr="00112FBD" w:rsidTr="00617A54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:rsidR="00B643CF" w:rsidRPr="00112FBD" w:rsidRDefault="00B643CF" w:rsidP="006E49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Desagregación geográfica</w:t>
            </w:r>
          </w:p>
          <w:p w:rsidR="00B643CF" w:rsidRPr="00112FBD" w:rsidRDefault="00B643CF" w:rsidP="006E49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Nacional (Cobertura del programa)</w:t>
            </w:r>
          </w:p>
        </w:tc>
        <w:tc>
          <w:tcPr>
            <w:tcW w:w="360" w:type="dxa"/>
            <w:vMerge/>
            <w:shd w:val="clear" w:color="auto" w:fill="auto"/>
          </w:tcPr>
          <w:p w:rsidR="00B643CF" w:rsidRPr="00112FBD" w:rsidRDefault="00B643C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shd w:val="clear" w:color="auto" w:fill="auto"/>
          </w:tcPr>
          <w:p w:rsidR="00B643CF" w:rsidRPr="00112FBD" w:rsidRDefault="00B643C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B643CF" w:rsidRPr="00112FBD" w:rsidRDefault="00B643CF" w:rsidP="007C41DF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Anual (diciembre)</w:t>
            </w:r>
          </w:p>
        </w:tc>
      </w:tr>
      <w:tr w:rsidR="00B643CF" w:rsidRPr="00112FBD" w:rsidTr="00617A54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:rsidR="00B643CF" w:rsidRPr="00112FBD" w:rsidRDefault="00B643CF" w:rsidP="006E49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recopilación de datos</w:t>
            </w:r>
          </w:p>
          <w:p w:rsidR="00B643CF" w:rsidRPr="00112FBD" w:rsidRDefault="00B643CF" w:rsidP="006E49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360" w:type="dxa"/>
            <w:vMerge/>
            <w:shd w:val="clear" w:color="auto" w:fill="auto"/>
          </w:tcPr>
          <w:p w:rsidR="00B643CF" w:rsidRPr="00112FBD" w:rsidRDefault="00B643C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shd w:val="clear" w:color="auto" w:fill="auto"/>
          </w:tcPr>
          <w:p w:rsidR="00B643CF" w:rsidRPr="00112FBD" w:rsidRDefault="00B643CF" w:rsidP="006E49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B643CF" w:rsidRPr="00112FBD" w:rsidRDefault="00B643CF" w:rsidP="008D21E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r w:rsidR="00EF783D" w:rsidRPr="008D21E0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202</w:t>
            </w:r>
            <w:r w:rsidR="008D21E0" w:rsidRPr="008D21E0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4</w:t>
            </w:r>
            <w:r w:rsidR="00EF783D" w:rsidRPr="008D21E0">
              <w:rPr>
                <w:rFonts w:ascii="Montserrat" w:hAnsi="Montserrat" w:cs="Arial"/>
                <w:sz w:val="20"/>
                <w:szCs w:val="20"/>
                <w:highlight w:val="cyan"/>
              </w:rPr>
              <w:t xml:space="preserve"> </w:t>
            </w:r>
            <w:r w:rsidRPr="008D21E0">
              <w:rPr>
                <w:rFonts w:ascii="Montserrat" w:hAnsi="Montserrat" w:cs="Arial"/>
                <w:sz w:val="20"/>
                <w:szCs w:val="20"/>
                <w:highlight w:val="cyan"/>
              </w:rPr>
              <w:t>(</w:t>
            </w:r>
            <w:r w:rsidRPr="00112FBD">
              <w:rPr>
                <w:rFonts w:ascii="Montserrat" w:hAnsi="Montserrat" w:cs="Arial"/>
                <w:sz w:val="20"/>
                <w:szCs w:val="20"/>
              </w:rPr>
              <w:t>Definitivo)</w:t>
            </w:r>
          </w:p>
        </w:tc>
      </w:tr>
      <w:tr w:rsidR="00B643CF" w:rsidRPr="00112FBD" w:rsidTr="00602D37">
        <w:trPr>
          <w:trHeight w:val="274"/>
        </w:trPr>
        <w:tc>
          <w:tcPr>
            <w:tcW w:w="10440" w:type="dxa"/>
            <w:gridSpan w:val="27"/>
            <w:shd w:val="clear" w:color="auto" w:fill="C00000"/>
          </w:tcPr>
          <w:p w:rsidR="00B643CF" w:rsidRPr="00112FBD" w:rsidRDefault="00B643C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B643CF" w:rsidRPr="00112FBD" w:rsidTr="00762713">
        <w:trPr>
          <w:trHeight w:val="291"/>
        </w:trPr>
        <w:tc>
          <w:tcPr>
            <w:tcW w:w="3480" w:type="dxa"/>
            <w:gridSpan w:val="7"/>
            <w:shd w:val="clear" w:color="auto" w:fill="auto"/>
          </w:tcPr>
          <w:p w:rsidR="00B643CF" w:rsidRPr="00112FBD" w:rsidRDefault="00B643C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480" w:type="dxa"/>
            <w:vMerge w:val="restart"/>
            <w:shd w:val="clear" w:color="auto" w:fill="auto"/>
          </w:tcPr>
          <w:p w:rsidR="00B643CF" w:rsidRPr="00112FBD" w:rsidRDefault="00B643C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  <w:gridSpan w:val="19"/>
            <w:shd w:val="clear" w:color="auto" w:fill="auto"/>
          </w:tcPr>
          <w:p w:rsidR="00B643CF" w:rsidRPr="00112FBD" w:rsidRDefault="00B643C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  <w:bookmarkStart w:id="0" w:name="_GoBack"/>
            <w:bookmarkEnd w:id="0"/>
          </w:p>
        </w:tc>
      </w:tr>
      <w:tr w:rsidR="00B643CF" w:rsidRPr="00112FBD" w:rsidTr="00762713">
        <w:trPr>
          <w:trHeight w:val="117"/>
        </w:trPr>
        <w:tc>
          <w:tcPr>
            <w:tcW w:w="3480" w:type="dxa"/>
            <w:gridSpan w:val="7"/>
            <w:shd w:val="clear" w:color="auto" w:fill="auto"/>
          </w:tcPr>
          <w:p w:rsidR="00B643CF" w:rsidRPr="00112FBD" w:rsidRDefault="00B643C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701E56" w:rsidRPr="00112FBD" w:rsidRDefault="00701E56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643CF" w:rsidRPr="00112FBD" w:rsidRDefault="00B643C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  <w:gridSpan w:val="19"/>
            <w:shd w:val="clear" w:color="auto" w:fill="auto"/>
          </w:tcPr>
          <w:p w:rsidR="00B643CF" w:rsidRPr="00112FBD" w:rsidRDefault="00B643C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B643CF" w:rsidRPr="00112FBD" w:rsidTr="00617A54">
        <w:trPr>
          <w:trHeight w:val="274"/>
        </w:trPr>
        <w:tc>
          <w:tcPr>
            <w:tcW w:w="10440" w:type="dxa"/>
            <w:gridSpan w:val="27"/>
            <w:shd w:val="clear" w:color="auto" w:fill="auto"/>
          </w:tcPr>
          <w:p w:rsidR="00B643CF" w:rsidRPr="00112FBD" w:rsidRDefault="00B643C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B643CF" w:rsidRPr="00112FBD" w:rsidTr="00617A54">
        <w:trPr>
          <w:trHeight w:val="274"/>
        </w:trPr>
        <w:tc>
          <w:tcPr>
            <w:tcW w:w="10440" w:type="dxa"/>
            <w:gridSpan w:val="27"/>
            <w:shd w:val="clear" w:color="auto" w:fill="auto"/>
          </w:tcPr>
          <w:p w:rsidR="00762713" w:rsidRPr="00112FBD" w:rsidRDefault="0076271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B643CF" w:rsidRPr="00112FBD" w:rsidTr="00602D37">
        <w:trPr>
          <w:trHeight w:val="274"/>
        </w:trPr>
        <w:tc>
          <w:tcPr>
            <w:tcW w:w="10440" w:type="dxa"/>
            <w:gridSpan w:val="27"/>
            <w:shd w:val="clear" w:color="auto" w:fill="C00000"/>
          </w:tcPr>
          <w:p w:rsidR="00B643CF" w:rsidRPr="00112FBD" w:rsidRDefault="00B643CF" w:rsidP="00602D3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B643CF" w:rsidRPr="00112FBD" w:rsidTr="00617A54">
        <w:trPr>
          <w:trHeight w:val="274"/>
        </w:trPr>
        <w:tc>
          <w:tcPr>
            <w:tcW w:w="10440" w:type="dxa"/>
            <w:gridSpan w:val="27"/>
            <w:shd w:val="clear" w:color="auto" w:fill="auto"/>
          </w:tcPr>
          <w:p w:rsidR="00B643CF" w:rsidRPr="00112FBD" w:rsidRDefault="00B643CF" w:rsidP="00315B23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EF783D" w:rsidRDefault="00435349" w:rsidP="00602D3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02D37">
              <w:rPr>
                <w:rFonts w:ascii="Montserrat" w:hAnsi="Montserrat" w:cs="Arial"/>
                <w:bCs/>
                <w:sz w:val="20"/>
                <w:szCs w:val="20"/>
              </w:rPr>
              <w:t>La cohorte la conforman el total de alumnos de los cursos de posgrado no clínico que ingresan en un mismo ciclo académico</w:t>
            </w:r>
            <w:r w:rsidR="00EF783D" w:rsidRPr="00602D37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EF783D" w:rsidRPr="00602D37" w:rsidRDefault="00EF783D" w:rsidP="00602D37">
            <w:pPr>
              <w:ind w:left="360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B643CF" w:rsidRPr="00602D37" w:rsidRDefault="00435349" w:rsidP="00602D3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02D37">
              <w:rPr>
                <w:rFonts w:ascii="Montserrat" w:hAnsi="Montserrat" w:cs="Arial"/>
                <w:bCs/>
                <w:sz w:val="20"/>
                <w:szCs w:val="20"/>
              </w:rPr>
              <w:t>Se deben restar las</w:t>
            </w:r>
            <w:r w:rsidR="0002710C" w:rsidRPr="00602D37">
              <w:rPr>
                <w:rFonts w:ascii="Montserrat" w:hAnsi="Montserrat" w:cs="Arial"/>
                <w:bCs/>
                <w:sz w:val="20"/>
                <w:szCs w:val="20"/>
              </w:rPr>
              <w:t xml:space="preserve"> bajas que por cualquier motivo</w:t>
            </w:r>
            <w:r w:rsidRPr="00602D37">
              <w:rPr>
                <w:rFonts w:ascii="Montserrat" w:hAnsi="Montserrat" w:cs="Arial"/>
                <w:bCs/>
                <w:sz w:val="20"/>
                <w:szCs w:val="20"/>
              </w:rPr>
              <w:t xml:space="preserve"> ocurran en el transcurso del desarrollo del</w:t>
            </w:r>
            <w:r w:rsidR="005D4380" w:rsidRPr="00602D3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602D37">
              <w:rPr>
                <w:rFonts w:ascii="Montserrat" w:hAnsi="Montserrat" w:cs="Arial"/>
                <w:bCs/>
                <w:sz w:val="20"/>
                <w:szCs w:val="20"/>
              </w:rPr>
              <w:t>programa académico completo hasta antes de la obtención del grado</w:t>
            </w:r>
            <w:r w:rsidR="007C23D8" w:rsidRPr="00602D37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762713" w:rsidRPr="00112FBD" w:rsidRDefault="00762713" w:rsidP="0044179F">
            <w:pPr>
              <w:tabs>
                <w:tab w:val="num" w:pos="0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7C23D8" w:rsidRPr="00602D37" w:rsidRDefault="007C23D8" w:rsidP="00602D3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02D37">
              <w:rPr>
                <w:rFonts w:ascii="Montserrat" w:hAnsi="Montserrat" w:cs="Arial"/>
                <w:bCs/>
                <w:sz w:val="20"/>
                <w:szCs w:val="20"/>
              </w:rPr>
              <w:t xml:space="preserve">Para este indicador se debe considerar exclusivamente aquellos posgrados no clínicos </w:t>
            </w:r>
            <w:r w:rsidR="00BD2D8F" w:rsidRPr="00602D37">
              <w:rPr>
                <w:rFonts w:ascii="Montserrat" w:hAnsi="Montserrat" w:cs="Arial"/>
                <w:bCs/>
                <w:sz w:val="20"/>
                <w:szCs w:val="20"/>
              </w:rPr>
              <w:t xml:space="preserve">(especialidad no clínica, maestrías y doctorados) </w:t>
            </w:r>
            <w:r w:rsidRPr="00602D37">
              <w:rPr>
                <w:rFonts w:ascii="Montserrat" w:hAnsi="Montserrat" w:cs="Arial"/>
                <w:bCs/>
                <w:sz w:val="20"/>
                <w:szCs w:val="20"/>
              </w:rPr>
              <w:t>en los cuales la institución</w:t>
            </w:r>
            <w:r w:rsidR="00BD2D8F" w:rsidRPr="00602D3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602D37">
              <w:rPr>
                <w:rFonts w:ascii="Montserrat" w:hAnsi="Montserrat" w:cs="Arial"/>
                <w:bCs/>
                <w:sz w:val="20"/>
                <w:szCs w:val="20"/>
              </w:rPr>
              <w:t>es sede oficial del programa</w:t>
            </w:r>
            <w:r w:rsidR="00EF783D">
              <w:rPr>
                <w:rFonts w:ascii="Montserrat" w:hAnsi="Montserrat" w:cs="Arial"/>
                <w:bCs/>
                <w:sz w:val="20"/>
                <w:szCs w:val="20"/>
              </w:rPr>
              <w:t>, es decir</w:t>
            </w:r>
            <w:r w:rsidR="00D2281D" w:rsidRPr="00602D3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602D37">
              <w:rPr>
                <w:rFonts w:ascii="Montserrat" w:hAnsi="Montserrat" w:cs="Arial"/>
                <w:bCs/>
                <w:sz w:val="20"/>
                <w:szCs w:val="20"/>
              </w:rPr>
              <w:t>existe un convenio establecido</w:t>
            </w:r>
            <w:r w:rsidR="00950958" w:rsidRPr="00602D37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  <w:r w:rsidR="0026221D" w:rsidRPr="00602D3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26221D" w:rsidRPr="00112FBD" w:rsidRDefault="0026221D" w:rsidP="0044179F">
            <w:pPr>
              <w:tabs>
                <w:tab w:val="num" w:pos="0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26221D" w:rsidRPr="00602D37" w:rsidRDefault="0026221D" w:rsidP="00602D3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02D37">
              <w:rPr>
                <w:rFonts w:ascii="Montserrat" w:hAnsi="Montserrat" w:cs="Arial"/>
                <w:bCs/>
                <w:sz w:val="20"/>
                <w:szCs w:val="20"/>
              </w:rPr>
              <w:t>Se considera que la institución es sede oficial del programa cuando cumple con al menos los siguientes requisitos:</w:t>
            </w:r>
          </w:p>
          <w:p w:rsidR="0026221D" w:rsidRPr="00112FBD" w:rsidRDefault="0026221D" w:rsidP="0044179F">
            <w:pPr>
              <w:pStyle w:val="Prrafodelista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Existe un convenio establecido con la institución de educación superior y la entidad</w:t>
            </w:r>
            <w:r w:rsidR="00EF783D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26221D" w:rsidRPr="00112FBD" w:rsidRDefault="0026221D" w:rsidP="0044179F">
            <w:pPr>
              <w:pStyle w:val="Prrafodelista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Los profesores del programa académico son parte del personal institucional</w:t>
            </w:r>
            <w:r w:rsidR="00EF783D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26221D" w:rsidRPr="00112FBD" w:rsidRDefault="0026221D" w:rsidP="0044179F">
            <w:pPr>
              <w:pStyle w:val="Prrafodelista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 xml:space="preserve">Se desarrollan las clases en la </w:t>
            </w:r>
            <w:r w:rsidR="00EF783D" w:rsidRPr="00112FBD">
              <w:rPr>
                <w:rFonts w:ascii="Montserrat" w:hAnsi="Montserrat" w:cs="Arial"/>
                <w:bCs/>
                <w:sz w:val="20"/>
                <w:szCs w:val="20"/>
              </w:rPr>
              <w:t>institución</w:t>
            </w:r>
            <w:r w:rsidR="00EF783D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B643CF" w:rsidRPr="00112FBD" w:rsidRDefault="0026221D" w:rsidP="0044179F">
            <w:pPr>
              <w:pStyle w:val="Prrafodelista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12FBD">
              <w:rPr>
                <w:rFonts w:ascii="Montserrat" w:hAnsi="Montserrat" w:cs="Arial"/>
                <w:bCs/>
                <w:sz w:val="20"/>
                <w:szCs w:val="20"/>
              </w:rPr>
              <w:t>Tiene relación directa con las líneas de investigación y los investigadores institucionales</w:t>
            </w:r>
            <w:r w:rsidR="00EF783D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523CD7" w:rsidRPr="00112FBD" w:rsidRDefault="00523CD7" w:rsidP="00762713">
            <w:pPr>
              <w:tabs>
                <w:tab w:val="num" w:pos="0"/>
              </w:tabs>
              <w:ind w:left="360"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</w:tbl>
    <w:p w:rsidR="00E92259" w:rsidRPr="00112FBD" w:rsidRDefault="00E92259" w:rsidP="004E399E">
      <w:pPr>
        <w:rPr>
          <w:rFonts w:ascii="Montserrat" w:hAnsi="Montserrat"/>
        </w:rPr>
      </w:pPr>
    </w:p>
    <w:sectPr w:rsidR="00E92259" w:rsidRPr="00112FBD" w:rsidSect="004E399E">
      <w:pgSz w:w="12240" w:h="15840"/>
      <w:pgMar w:top="1079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1CE67AD"/>
    <w:multiLevelType w:val="hybridMultilevel"/>
    <w:tmpl w:val="6566667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5061BF"/>
    <w:multiLevelType w:val="hybridMultilevel"/>
    <w:tmpl w:val="6566667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3E64EC"/>
    <w:multiLevelType w:val="hybridMultilevel"/>
    <w:tmpl w:val="7D36F5EE"/>
    <w:lvl w:ilvl="0" w:tplc="9212611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C0E"/>
    <w:rsid w:val="000054BA"/>
    <w:rsid w:val="00013FE4"/>
    <w:rsid w:val="00014114"/>
    <w:rsid w:val="00014DFC"/>
    <w:rsid w:val="000178B4"/>
    <w:rsid w:val="0002007E"/>
    <w:rsid w:val="0002143B"/>
    <w:rsid w:val="00021EB3"/>
    <w:rsid w:val="00024B22"/>
    <w:rsid w:val="0002557E"/>
    <w:rsid w:val="0002710C"/>
    <w:rsid w:val="000279B2"/>
    <w:rsid w:val="00035DB2"/>
    <w:rsid w:val="000372AE"/>
    <w:rsid w:val="000408FC"/>
    <w:rsid w:val="00045EEE"/>
    <w:rsid w:val="00056194"/>
    <w:rsid w:val="00061691"/>
    <w:rsid w:val="00065B24"/>
    <w:rsid w:val="0007663E"/>
    <w:rsid w:val="0008019B"/>
    <w:rsid w:val="00082BE4"/>
    <w:rsid w:val="00083114"/>
    <w:rsid w:val="00086F89"/>
    <w:rsid w:val="00092E57"/>
    <w:rsid w:val="000947D3"/>
    <w:rsid w:val="000950E6"/>
    <w:rsid w:val="000A24E1"/>
    <w:rsid w:val="000B009A"/>
    <w:rsid w:val="000B3355"/>
    <w:rsid w:val="000B38D7"/>
    <w:rsid w:val="000B4337"/>
    <w:rsid w:val="000D3ED4"/>
    <w:rsid w:val="000D4D17"/>
    <w:rsid w:val="000D7076"/>
    <w:rsid w:val="000E1BFA"/>
    <w:rsid w:val="000E3CC9"/>
    <w:rsid w:val="000E7ADE"/>
    <w:rsid w:val="000F3750"/>
    <w:rsid w:val="000F55CE"/>
    <w:rsid w:val="00100AE9"/>
    <w:rsid w:val="00111673"/>
    <w:rsid w:val="00112FBD"/>
    <w:rsid w:val="00122651"/>
    <w:rsid w:val="00125E79"/>
    <w:rsid w:val="0012611A"/>
    <w:rsid w:val="00134A05"/>
    <w:rsid w:val="00152FA0"/>
    <w:rsid w:val="001540A6"/>
    <w:rsid w:val="0016448D"/>
    <w:rsid w:val="001649D5"/>
    <w:rsid w:val="00171218"/>
    <w:rsid w:val="00171537"/>
    <w:rsid w:val="00173BAC"/>
    <w:rsid w:val="0017503D"/>
    <w:rsid w:val="001750ED"/>
    <w:rsid w:val="00177917"/>
    <w:rsid w:val="001967ED"/>
    <w:rsid w:val="001A18C7"/>
    <w:rsid w:val="001A2B31"/>
    <w:rsid w:val="001B02EE"/>
    <w:rsid w:val="001B0D44"/>
    <w:rsid w:val="001B29AB"/>
    <w:rsid w:val="001B4CA9"/>
    <w:rsid w:val="001C2315"/>
    <w:rsid w:val="001C5EE6"/>
    <w:rsid w:val="001D103F"/>
    <w:rsid w:val="001D1B0E"/>
    <w:rsid w:val="001D42E4"/>
    <w:rsid w:val="001D73C0"/>
    <w:rsid w:val="001E0819"/>
    <w:rsid w:val="001E145F"/>
    <w:rsid w:val="001E29D2"/>
    <w:rsid w:val="001F37A0"/>
    <w:rsid w:val="00202028"/>
    <w:rsid w:val="002107AE"/>
    <w:rsid w:val="00215E4E"/>
    <w:rsid w:val="002173FA"/>
    <w:rsid w:val="00221EB1"/>
    <w:rsid w:val="002257AD"/>
    <w:rsid w:val="002273E7"/>
    <w:rsid w:val="00227A93"/>
    <w:rsid w:val="00230DFF"/>
    <w:rsid w:val="00231092"/>
    <w:rsid w:val="00232F6F"/>
    <w:rsid w:val="00236244"/>
    <w:rsid w:val="00241E14"/>
    <w:rsid w:val="00241EBA"/>
    <w:rsid w:val="002421BF"/>
    <w:rsid w:val="00243286"/>
    <w:rsid w:val="00247038"/>
    <w:rsid w:val="00254C23"/>
    <w:rsid w:val="00256A6C"/>
    <w:rsid w:val="0026221D"/>
    <w:rsid w:val="00264DD5"/>
    <w:rsid w:val="00266A7C"/>
    <w:rsid w:val="00270110"/>
    <w:rsid w:val="00272E74"/>
    <w:rsid w:val="0027386C"/>
    <w:rsid w:val="002739E5"/>
    <w:rsid w:val="002756C8"/>
    <w:rsid w:val="002763B1"/>
    <w:rsid w:val="0028088C"/>
    <w:rsid w:val="00284C01"/>
    <w:rsid w:val="002902EB"/>
    <w:rsid w:val="00290AFC"/>
    <w:rsid w:val="002931C6"/>
    <w:rsid w:val="002A0FFD"/>
    <w:rsid w:val="002A43B7"/>
    <w:rsid w:val="002B1767"/>
    <w:rsid w:val="002B5933"/>
    <w:rsid w:val="002B72E5"/>
    <w:rsid w:val="002C102A"/>
    <w:rsid w:val="002E0C63"/>
    <w:rsid w:val="002E5808"/>
    <w:rsid w:val="002E5CAC"/>
    <w:rsid w:val="002F0596"/>
    <w:rsid w:val="002F1C19"/>
    <w:rsid w:val="002F3E7B"/>
    <w:rsid w:val="00301B5F"/>
    <w:rsid w:val="00302426"/>
    <w:rsid w:val="003068AC"/>
    <w:rsid w:val="00310CD4"/>
    <w:rsid w:val="00311948"/>
    <w:rsid w:val="00312203"/>
    <w:rsid w:val="00312615"/>
    <w:rsid w:val="003130E3"/>
    <w:rsid w:val="00313F80"/>
    <w:rsid w:val="003151D2"/>
    <w:rsid w:val="0031574C"/>
    <w:rsid w:val="00315B23"/>
    <w:rsid w:val="00316DE8"/>
    <w:rsid w:val="003257D8"/>
    <w:rsid w:val="00330D8F"/>
    <w:rsid w:val="003311B3"/>
    <w:rsid w:val="00333F15"/>
    <w:rsid w:val="00337FA8"/>
    <w:rsid w:val="003402DA"/>
    <w:rsid w:val="0034185E"/>
    <w:rsid w:val="0034543F"/>
    <w:rsid w:val="00345B2D"/>
    <w:rsid w:val="003508D2"/>
    <w:rsid w:val="003512AB"/>
    <w:rsid w:val="00353BAB"/>
    <w:rsid w:val="00360965"/>
    <w:rsid w:val="0036100E"/>
    <w:rsid w:val="00362117"/>
    <w:rsid w:val="00364109"/>
    <w:rsid w:val="00364946"/>
    <w:rsid w:val="00367534"/>
    <w:rsid w:val="003677F6"/>
    <w:rsid w:val="00370CD2"/>
    <w:rsid w:val="00375194"/>
    <w:rsid w:val="00377CFE"/>
    <w:rsid w:val="003809B8"/>
    <w:rsid w:val="00383B5E"/>
    <w:rsid w:val="00384181"/>
    <w:rsid w:val="00384C8A"/>
    <w:rsid w:val="00392A7D"/>
    <w:rsid w:val="003A21F3"/>
    <w:rsid w:val="003A3330"/>
    <w:rsid w:val="003A33C5"/>
    <w:rsid w:val="003B04A2"/>
    <w:rsid w:val="003B1EBD"/>
    <w:rsid w:val="003B1FF8"/>
    <w:rsid w:val="003B2AFA"/>
    <w:rsid w:val="003B4F37"/>
    <w:rsid w:val="003B6BF9"/>
    <w:rsid w:val="003B7B79"/>
    <w:rsid w:val="003C0E2B"/>
    <w:rsid w:val="003C4381"/>
    <w:rsid w:val="003C5519"/>
    <w:rsid w:val="003D1508"/>
    <w:rsid w:val="003D7E92"/>
    <w:rsid w:val="003E4DA6"/>
    <w:rsid w:val="003E553B"/>
    <w:rsid w:val="003E60DF"/>
    <w:rsid w:val="003F0176"/>
    <w:rsid w:val="003F0F57"/>
    <w:rsid w:val="003F4CBB"/>
    <w:rsid w:val="003F61F4"/>
    <w:rsid w:val="003F7343"/>
    <w:rsid w:val="004069EA"/>
    <w:rsid w:val="00407C34"/>
    <w:rsid w:val="00414CDE"/>
    <w:rsid w:val="004216B0"/>
    <w:rsid w:val="00422CF6"/>
    <w:rsid w:val="0042356D"/>
    <w:rsid w:val="00424B32"/>
    <w:rsid w:val="00425B45"/>
    <w:rsid w:val="0042733B"/>
    <w:rsid w:val="0042747C"/>
    <w:rsid w:val="00427840"/>
    <w:rsid w:val="00432774"/>
    <w:rsid w:val="00433007"/>
    <w:rsid w:val="00433EA6"/>
    <w:rsid w:val="00435349"/>
    <w:rsid w:val="004365B3"/>
    <w:rsid w:val="00437095"/>
    <w:rsid w:val="0044179F"/>
    <w:rsid w:val="004420AD"/>
    <w:rsid w:val="0044757D"/>
    <w:rsid w:val="004478B6"/>
    <w:rsid w:val="00451444"/>
    <w:rsid w:val="0045632E"/>
    <w:rsid w:val="00467CBF"/>
    <w:rsid w:val="00471CA2"/>
    <w:rsid w:val="0047580B"/>
    <w:rsid w:val="0047731C"/>
    <w:rsid w:val="00481928"/>
    <w:rsid w:val="004819FB"/>
    <w:rsid w:val="00485E51"/>
    <w:rsid w:val="00490D6D"/>
    <w:rsid w:val="00497FB0"/>
    <w:rsid w:val="004A573E"/>
    <w:rsid w:val="004B1AE3"/>
    <w:rsid w:val="004B2373"/>
    <w:rsid w:val="004B3B83"/>
    <w:rsid w:val="004B43B0"/>
    <w:rsid w:val="004B57FB"/>
    <w:rsid w:val="004B7F66"/>
    <w:rsid w:val="004C04C3"/>
    <w:rsid w:val="004C1D83"/>
    <w:rsid w:val="004C1FF5"/>
    <w:rsid w:val="004C304D"/>
    <w:rsid w:val="004C3A4B"/>
    <w:rsid w:val="004C5813"/>
    <w:rsid w:val="004C7D47"/>
    <w:rsid w:val="004D29ED"/>
    <w:rsid w:val="004D5636"/>
    <w:rsid w:val="004D57B0"/>
    <w:rsid w:val="004D7B26"/>
    <w:rsid w:val="004E184C"/>
    <w:rsid w:val="004E399E"/>
    <w:rsid w:val="004E43A5"/>
    <w:rsid w:val="004E5B50"/>
    <w:rsid w:val="004E5C54"/>
    <w:rsid w:val="004F5016"/>
    <w:rsid w:val="00500020"/>
    <w:rsid w:val="005030DC"/>
    <w:rsid w:val="0050580F"/>
    <w:rsid w:val="00505C14"/>
    <w:rsid w:val="00507431"/>
    <w:rsid w:val="00507DF3"/>
    <w:rsid w:val="005178DE"/>
    <w:rsid w:val="0052195B"/>
    <w:rsid w:val="00523CD7"/>
    <w:rsid w:val="0053138B"/>
    <w:rsid w:val="00531F97"/>
    <w:rsid w:val="00532917"/>
    <w:rsid w:val="005339AF"/>
    <w:rsid w:val="00533BC4"/>
    <w:rsid w:val="00535617"/>
    <w:rsid w:val="005411EB"/>
    <w:rsid w:val="00541E9A"/>
    <w:rsid w:val="00542B83"/>
    <w:rsid w:val="005431FF"/>
    <w:rsid w:val="00543204"/>
    <w:rsid w:val="005512C2"/>
    <w:rsid w:val="0055534D"/>
    <w:rsid w:val="00555376"/>
    <w:rsid w:val="00555F07"/>
    <w:rsid w:val="005622EA"/>
    <w:rsid w:val="00570859"/>
    <w:rsid w:val="00571F91"/>
    <w:rsid w:val="00575799"/>
    <w:rsid w:val="005757ED"/>
    <w:rsid w:val="00576B0F"/>
    <w:rsid w:val="0058105F"/>
    <w:rsid w:val="0058164A"/>
    <w:rsid w:val="005837BE"/>
    <w:rsid w:val="00584B30"/>
    <w:rsid w:val="00590FAF"/>
    <w:rsid w:val="005910EE"/>
    <w:rsid w:val="005922B9"/>
    <w:rsid w:val="005926BB"/>
    <w:rsid w:val="00593811"/>
    <w:rsid w:val="005944CA"/>
    <w:rsid w:val="005A32B5"/>
    <w:rsid w:val="005A4BC0"/>
    <w:rsid w:val="005A4F4C"/>
    <w:rsid w:val="005A62EC"/>
    <w:rsid w:val="005B15DD"/>
    <w:rsid w:val="005B2796"/>
    <w:rsid w:val="005B2BC6"/>
    <w:rsid w:val="005B6EB7"/>
    <w:rsid w:val="005C0D48"/>
    <w:rsid w:val="005C6150"/>
    <w:rsid w:val="005C65AB"/>
    <w:rsid w:val="005D42BD"/>
    <w:rsid w:val="005D4380"/>
    <w:rsid w:val="005D5390"/>
    <w:rsid w:val="005D5F08"/>
    <w:rsid w:val="005E0882"/>
    <w:rsid w:val="005E1DD1"/>
    <w:rsid w:val="005E2806"/>
    <w:rsid w:val="005E3A24"/>
    <w:rsid w:val="005E4A29"/>
    <w:rsid w:val="005E5F1B"/>
    <w:rsid w:val="005E6741"/>
    <w:rsid w:val="005E6DE5"/>
    <w:rsid w:val="005F0C81"/>
    <w:rsid w:val="006017CA"/>
    <w:rsid w:val="00602D37"/>
    <w:rsid w:val="00605CE2"/>
    <w:rsid w:val="00605E7F"/>
    <w:rsid w:val="006109E5"/>
    <w:rsid w:val="00615E49"/>
    <w:rsid w:val="006168D1"/>
    <w:rsid w:val="00617A54"/>
    <w:rsid w:val="0062536F"/>
    <w:rsid w:val="0063759D"/>
    <w:rsid w:val="00641320"/>
    <w:rsid w:val="0064140C"/>
    <w:rsid w:val="00641A9F"/>
    <w:rsid w:val="006460DF"/>
    <w:rsid w:val="00647733"/>
    <w:rsid w:val="00647B16"/>
    <w:rsid w:val="00647C4D"/>
    <w:rsid w:val="0065055A"/>
    <w:rsid w:val="006521A4"/>
    <w:rsid w:val="006552FC"/>
    <w:rsid w:val="00660C4C"/>
    <w:rsid w:val="00661B20"/>
    <w:rsid w:val="0067504F"/>
    <w:rsid w:val="00675E93"/>
    <w:rsid w:val="0067711F"/>
    <w:rsid w:val="006817A5"/>
    <w:rsid w:val="00681A09"/>
    <w:rsid w:val="00681B81"/>
    <w:rsid w:val="006825C3"/>
    <w:rsid w:val="0069392E"/>
    <w:rsid w:val="006942E2"/>
    <w:rsid w:val="006962E7"/>
    <w:rsid w:val="00697B7D"/>
    <w:rsid w:val="006A2596"/>
    <w:rsid w:val="006A32EF"/>
    <w:rsid w:val="006A3587"/>
    <w:rsid w:val="006A65AE"/>
    <w:rsid w:val="006A6794"/>
    <w:rsid w:val="006A7367"/>
    <w:rsid w:val="006A77C7"/>
    <w:rsid w:val="006B09E2"/>
    <w:rsid w:val="006B0BC5"/>
    <w:rsid w:val="006B199F"/>
    <w:rsid w:val="006B2085"/>
    <w:rsid w:val="006C075C"/>
    <w:rsid w:val="006C22A7"/>
    <w:rsid w:val="006C3159"/>
    <w:rsid w:val="006C4FCA"/>
    <w:rsid w:val="006C5997"/>
    <w:rsid w:val="006C5B13"/>
    <w:rsid w:val="006C5D67"/>
    <w:rsid w:val="006C6008"/>
    <w:rsid w:val="006C6511"/>
    <w:rsid w:val="006C70B9"/>
    <w:rsid w:val="006D0643"/>
    <w:rsid w:val="006E023E"/>
    <w:rsid w:val="006E4906"/>
    <w:rsid w:val="006E5AF6"/>
    <w:rsid w:val="006E74AD"/>
    <w:rsid w:val="006F3A09"/>
    <w:rsid w:val="006F4D93"/>
    <w:rsid w:val="006F768B"/>
    <w:rsid w:val="00701E56"/>
    <w:rsid w:val="00705E7E"/>
    <w:rsid w:val="00712663"/>
    <w:rsid w:val="00720F07"/>
    <w:rsid w:val="007251BC"/>
    <w:rsid w:val="00727F61"/>
    <w:rsid w:val="00742DF7"/>
    <w:rsid w:val="0075017C"/>
    <w:rsid w:val="00753AFF"/>
    <w:rsid w:val="0075454A"/>
    <w:rsid w:val="007553CA"/>
    <w:rsid w:val="00760043"/>
    <w:rsid w:val="00760ADC"/>
    <w:rsid w:val="00762713"/>
    <w:rsid w:val="00763562"/>
    <w:rsid w:val="007916ED"/>
    <w:rsid w:val="007933FD"/>
    <w:rsid w:val="007A01B3"/>
    <w:rsid w:val="007A5DE1"/>
    <w:rsid w:val="007C0115"/>
    <w:rsid w:val="007C13B1"/>
    <w:rsid w:val="007C201C"/>
    <w:rsid w:val="007C23D8"/>
    <w:rsid w:val="007C41DF"/>
    <w:rsid w:val="007D1A41"/>
    <w:rsid w:val="007D4AAD"/>
    <w:rsid w:val="007E170D"/>
    <w:rsid w:val="007E4BAB"/>
    <w:rsid w:val="007F54CB"/>
    <w:rsid w:val="007F5A60"/>
    <w:rsid w:val="007F62F7"/>
    <w:rsid w:val="00802BAE"/>
    <w:rsid w:val="00805F80"/>
    <w:rsid w:val="00807FF0"/>
    <w:rsid w:val="00812DD6"/>
    <w:rsid w:val="008145DA"/>
    <w:rsid w:val="00814814"/>
    <w:rsid w:val="0081637C"/>
    <w:rsid w:val="0081640E"/>
    <w:rsid w:val="008207C0"/>
    <w:rsid w:val="00823181"/>
    <w:rsid w:val="00824C38"/>
    <w:rsid w:val="008270D4"/>
    <w:rsid w:val="008325CB"/>
    <w:rsid w:val="00837585"/>
    <w:rsid w:val="00841488"/>
    <w:rsid w:val="00845DC8"/>
    <w:rsid w:val="0085068E"/>
    <w:rsid w:val="00851052"/>
    <w:rsid w:val="00851226"/>
    <w:rsid w:val="00855E0B"/>
    <w:rsid w:val="00856763"/>
    <w:rsid w:val="0086140F"/>
    <w:rsid w:val="008614CC"/>
    <w:rsid w:val="00864864"/>
    <w:rsid w:val="00871FFA"/>
    <w:rsid w:val="00874293"/>
    <w:rsid w:val="00876C25"/>
    <w:rsid w:val="00876F0F"/>
    <w:rsid w:val="008802A5"/>
    <w:rsid w:val="00881783"/>
    <w:rsid w:val="00896AFD"/>
    <w:rsid w:val="00896F72"/>
    <w:rsid w:val="008978F5"/>
    <w:rsid w:val="008A4E1D"/>
    <w:rsid w:val="008A6FAE"/>
    <w:rsid w:val="008B226C"/>
    <w:rsid w:val="008B68FF"/>
    <w:rsid w:val="008C2E7B"/>
    <w:rsid w:val="008C5E89"/>
    <w:rsid w:val="008C79CA"/>
    <w:rsid w:val="008D00D9"/>
    <w:rsid w:val="008D21E0"/>
    <w:rsid w:val="008D4A4E"/>
    <w:rsid w:val="008E5635"/>
    <w:rsid w:val="008E5708"/>
    <w:rsid w:val="008E5A0B"/>
    <w:rsid w:val="008F00EE"/>
    <w:rsid w:val="008F1A78"/>
    <w:rsid w:val="008F3947"/>
    <w:rsid w:val="008F5FDF"/>
    <w:rsid w:val="00901021"/>
    <w:rsid w:val="009023A5"/>
    <w:rsid w:val="0090351D"/>
    <w:rsid w:val="009100B8"/>
    <w:rsid w:val="00911057"/>
    <w:rsid w:val="009121DB"/>
    <w:rsid w:val="00913123"/>
    <w:rsid w:val="00914FBF"/>
    <w:rsid w:val="00916C7B"/>
    <w:rsid w:val="00916E99"/>
    <w:rsid w:val="00924FF5"/>
    <w:rsid w:val="0092750D"/>
    <w:rsid w:val="00930D59"/>
    <w:rsid w:val="009323A0"/>
    <w:rsid w:val="00935FBB"/>
    <w:rsid w:val="0093624C"/>
    <w:rsid w:val="00936511"/>
    <w:rsid w:val="00936C72"/>
    <w:rsid w:val="009436C7"/>
    <w:rsid w:val="009441CA"/>
    <w:rsid w:val="00945068"/>
    <w:rsid w:val="00947ADF"/>
    <w:rsid w:val="00950958"/>
    <w:rsid w:val="00952B14"/>
    <w:rsid w:val="00952B35"/>
    <w:rsid w:val="009534A5"/>
    <w:rsid w:val="00953CAF"/>
    <w:rsid w:val="00955FE2"/>
    <w:rsid w:val="00956E93"/>
    <w:rsid w:val="00957957"/>
    <w:rsid w:val="00966780"/>
    <w:rsid w:val="00967CCF"/>
    <w:rsid w:val="00970073"/>
    <w:rsid w:val="009714D4"/>
    <w:rsid w:val="00973CE3"/>
    <w:rsid w:val="0098429B"/>
    <w:rsid w:val="00984AAE"/>
    <w:rsid w:val="009905FC"/>
    <w:rsid w:val="00996DCB"/>
    <w:rsid w:val="009A5742"/>
    <w:rsid w:val="009A62CC"/>
    <w:rsid w:val="009A67A0"/>
    <w:rsid w:val="009A6DAF"/>
    <w:rsid w:val="009B564E"/>
    <w:rsid w:val="009B73F9"/>
    <w:rsid w:val="009C5C2D"/>
    <w:rsid w:val="009C775E"/>
    <w:rsid w:val="009D1ED8"/>
    <w:rsid w:val="009E09C4"/>
    <w:rsid w:val="009E1033"/>
    <w:rsid w:val="009E752E"/>
    <w:rsid w:val="009F3DC9"/>
    <w:rsid w:val="009F607E"/>
    <w:rsid w:val="009F7EE4"/>
    <w:rsid w:val="00A013A1"/>
    <w:rsid w:val="00A02C2E"/>
    <w:rsid w:val="00A035E8"/>
    <w:rsid w:val="00A12983"/>
    <w:rsid w:val="00A14541"/>
    <w:rsid w:val="00A2156D"/>
    <w:rsid w:val="00A236D3"/>
    <w:rsid w:val="00A25B4C"/>
    <w:rsid w:val="00A325D4"/>
    <w:rsid w:val="00A32E6B"/>
    <w:rsid w:val="00A3463A"/>
    <w:rsid w:val="00A408EC"/>
    <w:rsid w:val="00A416A3"/>
    <w:rsid w:val="00A440BB"/>
    <w:rsid w:val="00A46E08"/>
    <w:rsid w:val="00A512C7"/>
    <w:rsid w:val="00A55753"/>
    <w:rsid w:val="00A55A14"/>
    <w:rsid w:val="00A564FF"/>
    <w:rsid w:val="00A60714"/>
    <w:rsid w:val="00A705B7"/>
    <w:rsid w:val="00A711E0"/>
    <w:rsid w:val="00A73ED9"/>
    <w:rsid w:val="00A75CCE"/>
    <w:rsid w:val="00A76209"/>
    <w:rsid w:val="00A77D7E"/>
    <w:rsid w:val="00A80AF2"/>
    <w:rsid w:val="00A821B9"/>
    <w:rsid w:val="00A82CA1"/>
    <w:rsid w:val="00A83052"/>
    <w:rsid w:val="00A842D5"/>
    <w:rsid w:val="00A86270"/>
    <w:rsid w:val="00A87B2D"/>
    <w:rsid w:val="00A90D65"/>
    <w:rsid w:val="00AA05A4"/>
    <w:rsid w:val="00AA62F3"/>
    <w:rsid w:val="00AA719A"/>
    <w:rsid w:val="00AB16CD"/>
    <w:rsid w:val="00AB68B0"/>
    <w:rsid w:val="00AC367E"/>
    <w:rsid w:val="00AC4948"/>
    <w:rsid w:val="00AC6F3B"/>
    <w:rsid w:val="00AC78D1"/>
    <w:rsid w:val="00AD1394"/>
    <w:rsid w:val="00AD2FC3"/>
    <w:rsid w:val="00AE3FB0"/>
    <w:rsid w:val="00AE464F"/>
    <w:rsid w:val="00AE52E2"/>
    <w:rsid w:val="00AE747A"/>
    <w:rsid w:val="00AE7E7A"/>
    <w:rsid w:val="00AF56A4"/>
    <w:rsid w:val="00B0270F"/>
    <w:rsid w:val="00B02CA7"/>
    <w:rsid w:val="00B03E01"/>
    <w:rsid w:val="00B04D09"/>
    <w:rsid w:val="00B05B2C"/>
    <w:rsid w:val="00B0743E"/>
    <w:rsid w:val="00B07E7B"/>
    <w:rsid w:val="00B1583E"/>
    <w:rsid w:val="00B17303"/>
    <w:rsid w:val="00B22F8B"/>
    <w:rsid w:val="00B2380E"/>
    <w:rsid w:val="00B25159"/>
    <w:rsid w:val="00B30307"/>
    <w:rsid w:val="00B34B7B"/>
    <w:rsid w:val="00B37D4E"/>
    <w:rsid w:val="00B37E39"/>
    <w:rsid w:val="00B42541"/>
    <w:rsid w:val="00B436FE"/>
    <w:rsid w:val="00B44A50"/>
    <w:rsid w:val="00B5153F"/>
    <w:rsid w:val="00B53008"/>
    <w:rsid w:val="00B54E71"/>
    <w:rsid w:val="00B561B5"/>
    <w:rsid w:val="00B62F75"/>
    <w:rsid w:val="00B643CF"/>
    <w:rsid w:val="00B708AF"/>
    <w:rsid w:val="00B71F22"/>
    <w:rsid w:val="00B7538D"/>
    <w:rsid w:val="00B80F2A"/>
    <w:rsid w:val="00B82F7D"/>
    <w:rsid w:val="00B83A2A"/>
    <w:rsid w:val="00B83D07"/>
    <w:rsid w:val="00B8718D"/>
    <w:rsid w:val="00B90922"/>
    <w:rsid w:val="00B91B4B"/>
    <w:rsid w:val="00BA33AF"/>
    <w:rsid w:val="00BA4D49"/>
    <w:rsid w:val="00BA5F91"/>
    <w:rsid w:val="00BB2AE6"/>
    <w:rsid w:val="00BB395F"/>
    <w:rsid w:val="00BB5212"/>
    <w:rsid w:val="00BB669B"/>
    <w:rsid w:val="00BC2F13"/>
    <w:rsid w:val="00BC45AD"/>
    <w:rsid w:val="00BD013E"/>
    <w:rsid w:val="00BD1D89"/>
    <w:rsid w:val="00BD1EE7"/>
    <w:rsid w:val="00BD2D8F"/>
    <w:rsid w:val="00BD748B"/>
    <w:rsid w:val="00BD7548"/>
    <w:rsid w:val="00BD7606"/>
    <w:rsid w:val="00BE0AFF"/>
    <w:rsid w:val="00BE13DD"/>
    <w:rsid w:val="00BE2ABC"/>
    <w:rsid w:val="00BE361F"/>
    <w:rsid w:val="00BE708A"/>
    <w:rsid w:val="00BE7E62"/>
    <w:rsid w:val="00BF0C45"/>
    <w:rsid w:val="00BF24B5"/>
    <w:rsid w:val="00BF48A4"/>
    <w:rsid w:val="00BF5483"/>
    <w:rsid w:val="00C00FCA"/>
    <w:rsid w:val="00C14D8C"/>
    <w:rsid w:val="00C30A77"/>
    <w:rsid w:val="00C33CEA"/>
    <w:rsid w:val="00C36260"/>
    <w:rsid w:val="00C46F65"/>
    <w:rsid w:val="00C5363F"/>
    <w:rsid w:val="00C54679"/>
    <w:rsid w:val="00C56125"/>
    <w:rsid w:val="00C563CA"/>
    <w:rsid w:val="00C56465"/>
    <w:rsid w:val="00C571DA"/>
    <w:rsid w:val="00C61694"/>
    <w:rsid w:val="00C61807"/>
    <w:rsid w:val="00C642C2"/>
    <w:rsid w:val="00C71159"/>
    <w:rsid w:val="00C75DE1"/>
    <w:rsid w:val="00C80BF4"/>
    <w:rsid w:val="00C816DD"/>
    <w:rsid w:val="00C81B06"/>
    <w:rsid w:val="00C824A4"/>
    <w:rsid w:val="00C91434"/>
    <w:rsid w:val="00C92082"/>
    <w:rsid w:val="00C92264"/>
    <w:rsid w:val="00C9487D"/>
    <w:rsid w:val="00C95C47"/>
    <w:rsid w:val="00CA0050"/>
    <w:rsid w:val="00CA17EE"/>
    <w:rsid w:val="00CA1B8C"/>
    <w:rsid w:val="00CA33B3"/>
    <w:rsid w:val="00CB3680"/>
    <w:rsid w:val="00CC116B"/>
    <w:rsid w:val="00CC2174"/>
    <w:rsid w:val="00CC3C93"/>
    <w:rsid w:val="00CC4E7F"/>
    <w:rsid w:val="00CC5086"/>
    <w:rsid w:val="00CC5C2E"/>
    <w:rsid w:val="00CC5F22"/>
    <w:rsid w:val="00CD2EF2"/>
    <w:rsid w:val="00CD4725"/>
    <w:rsid w:val="00CD50B9"/>
    <w:rsid w:val="00CD51B9"/>
    <w:rsid w:val="00CE0A16"/>
    <w:rsid w:val="00CE2CB2"/>
    <w:rsid w:val="00CF4CB7"/>
    <w:rsid w:val="00D01A6E"/>
    <w:rsid w:val="00D03A05"/>
    <w:rsid w:val="00D04B04"/>
    <w:rsid w:val="00D076A7"/>
    <w:rsid w:val="00D11B10"/>
    <w:rsid w:val="00D11D66"/>
    <w:rsid w:val="00D20B4E"/>
    <w:rsid w:val="00D2281D"/>
    <w:rsid w:val="00D254EB"/>
    <w:rsid w:val="00D27113"/>
    <w:rsid w:val="00D27D63"/>
    <w:rsid w:val="00D32823"/>
    <w:rsid w:val="00D34024"/>
    <w:rsid w:val="00D35D53"/>
    <w:rsid w:val="00D409DD"/>
    <w:rsid w:val="00D47272"/>
    <w:rsid w:val="00D5103F"/>
    <w:rsid w:val="00D51924"/>
    <w:rsid w:val="00D52B35"/>
    <w:rsid w:val="00D5397A"/>
    <w:rsid w:val="00D55926"/>
    <w:rsid w:val="00D630C3"/>
    <w:rsid w:val="00D71A11"/>
    <w:rsid w:val="00D73296"/>
    <w:rsid w:val="00D76A96"/>
    <w:rsid w:val="00D76BD4"/>
    <w:rsid w:val="00D80829"/>
    <w:rsid w:val="00D816B6"/>
    <w:rsid w:val="00D82574"/>
    <w:rsid w:val="00D83797"/>
    <w:rsid w:val="00D96A92"/>
    <w:rsid w:val="00DA0516"/>
    <w:rsid w:val="00DA0624"/>
    <w:rsid w:val="00DA0A8A"/>
    <w:rsid w:val="00DA3F28"/>
    <w:rsid w:val="00DA402A"/>
    <w:rsid w:val="00DA594E"/>
    <w:rsid w:val="00DA7DB5"/>
    <w:rsid w:val="00DB7AD7"/>
    <w:rsid w:val="00DC1B9C"/>
    <w:rsid w:val="00DC4B3E"/>
    <w:rsid w:val="00DC6762"/>
    <w:rsid w:val="00DC6805"/>
    <w:rsid w:val="00DD2F1B"/>
    <w:rsid w:val="00DD4CC6"/>
    <w:rsid w:val="00DD7C6B"/>
    <w:rsid w:val="00DE04FD"/>
    <w:rsid w:val="00DE2598"/>
    <w:rsid w:val="00DE4E13"/>
    <w:rsid w:val="00DE5078"/>
    <w:rsid w:val="00DE60D6"/>
    <w:rsid w:val="00DE7992"/>
    <w:rsid w:val="00DF0DF8"/>
    <w:rsid w:val="00DF2D3D"/>
    <w:rsid w:val="00DF7F42"/>
    <w:rsid w:val="00E042A1"/>
    <w:rsid w:val="00E101C7"/>
    <w:rsid w:val="00E10407"/>
    <w:rsid w:val="00E10625"/>
    <w:rsid w:val="00E122D6"/>
    <w:rsid w:val="00E23603"/>
    <w:rsid w:val="00E23FD4"/>
    <w:rsid w:val="00E244E3"/>
    <w:rsid w:val="00E32FAF"/>
    <w:rsid w:val="00E503D3"/>
    <w:rsid w:val="00E52ADB"/>
    <w:rsid w:val="00E60B94"/>
    <w:rsid w:val="00E67FE9"/>
    <w:rsid w:val="00E70C60"/>
    <w:rsid w:val="00E7128A"/>
    <w:rsid w:val="00E762EF"/>
    <w:rsid w:val="00E769CC"/>
    <w:rsid w:val="00E76C6A"/>
    <w:rsid w:val="00E7700A"/>
    <w:rsid w:val="00E87793"/>
    <w:rsid w:val="00E91EC9"/>
    <w:rsid w:val="00E92259"/>
    <w:rsid w:val="00E923BD"/>
    <w:rsid w:val="00EA0139"/>
    <w:rsid w:val="00EA2EB7"/>
    <w:rsid w:val="00EA76A9"/>
    <w:rsid w:val="00EA79C6"/>
    <w:rsid w:val="00EC02E5"/>
    <w:rsid w:val="00EC4A40"/>
    <w:rsid w:val="00EC61CF"/>
    <w:rsid w:val="00EC6547"/>
    <w:rsid w:val="00ED116C"/>
    <w:rsid w:val="00ED2544"/>
    <w:rsid w:val="00ED2E85"/>
    <w:rsid w:val="00ED38E3"/>
    <w:rsid w:val="00ED5D55"/>
    <w:rsid w:val="00ED72E6"/>
    <w:rsid w:val="00EE47E8"/>
    <w:rsid w:val="00EE5181"/>
    <w:rsid w:val="00EF5391"/>
    <w:rsid w:val="00EF783D"/>
    <w:rsid w:val="00EF7928"/>
    <w:rsid w:val="00F01C0F"/>
    <w:rsid w:val="00F0278B"/>
    <w:rsid w:val="00F036D0"/>
    <w:rsid w:val="00F040AF"/>
    <w:rsid w:val="00F04FF2"/>
    <w:rsid w:val="00F12640"/>
    <w:rsid w:val="00F15464"/>
    <w:rsid w:val="00F17200"/>
    <w:rsid w:val="00F1730C"/>
    <w:rsid w:val="00F1762A"/>
    <w:rsid w:val="00F20161"/>
    <w:rsid w:val="00F278AB"/>
    <w:rsid w:val="00F335D6"/>
    <w:rsid w:val="00F34A79"/>
    <w:rsid w:val="00F40CEA"/>
    <w:rsid w:val="00F41D9D"/>
    <w:rsid w:val="00F450C5"/>
    <w:rsid w:val="00F4519B"/>
    <w:rsid w:val="00F57C20"/>
    <w:rsid w:val="00F65747"/>
    <w:rsid w:val="00F67223"/>
    <w:rsid w:val="00F7327B"/>
    <w:rsid w:val="00F734D5"/>
    <w:rsid w:val="00F73A79"/>
    <w:rsid w:val="00F76204"/>
    <w:rsid w:val="00F80A4E"/>
    <w:rsid w:val="00F8542A"/>
    <w:rsid w:val="00F90FE7"/>
    <w:rsid w:val="00F924C7"/>
    <w:rsid w:val="00F93964"/>
    <w:rsid w:val="00F97A24"/>
    <w:rsid w:val="00FA1330"/>
    <w:rsid w:val="00FA1FEA"/>
    <w:rsid w:val="00FA23B4"/>
    <w:rsid w:val="00FA2F64"/>
    <w:rsid w:val="00FB3835"/>
    <w:rsid w:val="00FB40B2"/>
    <w:rsid w:val="00FB553A"/>
    <w:rsid w:val="00FC0447"/>
    <w:rsid w:val="00FD02DF"/>
    <w:rsid w:val="00FD05B1"/>
    <w:rsid w:val="00FD265D"/>
    <w:rsid w:val="00FD38B8"/>
    <w:rsid w:val="00FD5281"/>
    <w:rsid w:val="00FE528A"/>
    <w:rsid w:val="00FE6CEB"/>
    <w:rsid w:val="00FE7532"/>
    <w:rsid w:val="00FF27DC"/>
    <w:rsid w:val="00FF321E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E7FA7"/>
  <w15:docId w15:val="{E340F9E9-65A0-4AE0-B9F0-6B8BAD15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48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5B2C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05B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12C2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622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1CB9-4D83-4834-945C-F2237978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creator>CCINSHAE</dc:creator>
  <cp:lastModifiedBy>123</cp:lastModifiedBy>
  <cp:revision>25</cp:revision>
  <cp:lastPrinted>2013-06-10T21:43:00Z</cp:lastPrinted>
  <dcterms:created xsi:type="dcterms:W3CDTF">2019-09-11T16:39:00Z</dcterms:created>
  <dcterms:modified xsi:type="dcterms:W3CDTF">2022-06-27T13:34:00Z</dcterms:modified>
</cp:coreProperties>
</file>