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28" w:rsidRPr="00263BB7" w:rsidRDefault="00D06228" w:rsidP="000D0EAE">
      <w:pPr>
        <w:jc w:val="center"/>
        <w:rPr>
          <w:rFonts w:ascii="Montserrat" w:hAnsi="Montserrat"/>
        </w:rPr>
      </w:pPr>
      <w:r w:rsidRPr="00263BB7">
        <w:rPr>
          <w:rFonts w:ascii="Montserrat" w:hAnsi="Montserrat"/>
        </w:rPr>
        <w:t>MATR</w:t>
      </w:r>
      <w:r w:rsidR="00C8066C" w:rsidRPr="00263BB7">
        <w:rPr>
          <w:rFonts w:ascii="Montserrat" w:hAnsi="Montserrat"/>
        </w:rPr>
        <w:t>I</w:t>
      </w:r>
      <w:r w:rsidR="00D71E05">
        <w:rPr>
          <w:rFonts w:ascii="Montserrat" w:hAnsi="Montserrat"/>
        </w:rPr>
        <w:t xml:space="preserve">Z DE INDICADORES </w:t>
      </w:r>
      <w:r w:rsidR="00D71E05" w:rsidRPr="00D71E05">
        <w:rPr>
          <w:rFonts w:ascii="Montserrat" w:hAnsi="Montserrat"/>
          <w:highlight w:val="cyan"/>
        </w:rPr>
        <w:t>2023</w:t>
      </w:r>
    </w:p>
    <w:p w:rsidR="00D06228" w:rsidRPr="00263BB7" w:rsidRDefault="00D06228" w:rsidP="000D0EAE">
      <w:pPr>
        <w:jc w:val="center"/>
        <w:rPr>
          <w:rFonts w:ascii="Montserrat" w:hAnsi="Montserrat"/>
        </w:rPr>
      </w:pPr>
      <w:r w:rsidRPr="00263BB7">
        <w:rPr>
          <w:rFonts w:ascii="Montserrat" w:hAnsi="Montserrat"/>
        </w:rPr>
        <w:t xml:space="preserve">DEL PROGRAMA </w:t>
      </w:r>
      <w:r w:rsidR="00370541" w:rsidRPr="00263BB7">
        <w:rPr>
          <w:rFonts w:ascii="Montserrat" w:hAnsi="Montserrat"/>
        </w:rPr>
        <w:t>E023 “</w:t>
      </w:r>
      <w:r w:rsidR="00106717" w:rsidRPr="00263BB7">
        <w:rPr>
          <w:rFonts w:ascii="Montserrat" w:hAnsi="Montserrat"/>
        </w:rPr>
        <w:t>ATENCIÓN A LA SALUD</w:t>
      </w:r>
      <w:r w:rsidR="00370541" w:rsidRPr="00263BB7">
        <w:rPr>
          <w:rFonts w:ascii="Montserrat" w:hAnsi="Montserrat"/>
        </w:rPr>
        <w:t>”</w:t>
      </w:r>
    </w:p>
    <w:p w:rsidR="00D06228" w:rsidRPr="00263BB7" w:rsidRDefault="00D06228" w:rsidP="00D06228">
      <w:pPr>
        <w:jc w:val="center"/>
        <w:rPr>
          <w:rFonts w:ascii="Montserrat" w:hAnsi="Montserrat"/>
        </w:rPr>
      </w:pPr>
      <w:r w:rsidRPr="00263BB7">
        <w:rPr>
          <w:rFonts w:ascii="Montserrat" w:hAnsi="Montserrat"/>
        </w:rPr>
        <w:t>FICHA TÉCNICA</w:t>
      </w:r>
      <w:r w:rsidR="00EC66F8" w:rsidRPr="00263BB7">
        <w:rPr>
          <w:rFonts w:ascii="Montserrat" w:hAnsi="Montserrat"/>
        </w:rPr>
        <w:t xml:space="preserve"> </w:t>
      </w:r>
      <w:r w:rsidR="00D71E05" w:rsidRPr="00D71E05">
        <w:rPr>
          <w:rFonts w:ascii="Montserrat" w:hAnsi="Montserrat"/>
          <w:highlight w:val="cyan"/>
        </w:rPr>
        <w:t>JUNIO 27 2022</w:t>
      </w:r>
    </w:p>
    <w:tbl>
      <w:tblPr>
        <w:tblW w:w="1162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18"/>
        <w:gridCol w:w="810"/>
        <w:gridCol w:w="106"/>
        <w:gridCol w:w="524"/>
        <w:gridCol w:w="180"/>
        <w:gridCol w:w="600"/>
        <w:gridCol w:w="480"/>
        <w:gridCol w:w="180"/>
        <w:gridCol w:w="180"/>
        <w:gridCol w:w="124"/>
        <w:gridCol w:w="236"/>
        <w:gridCol w:w="48"/>
        <w:gridCol w:w="188"/>
        <w:gridCol w:w="48"/>
        <w:gridCol w:w="256"/>
        <w:gridCol w:w="180"/>
        <w:gridCol w:w="360"/>
        <w:gridCol w:w="720"/>
        <w:gridCol w:w="374"/>
        <w:gridCol w:w="1163"/>
        <w:gridCol w:w="83"/>
        <w:gridCol w:w="498"/>
        <w:gridCol w:w="99"/>
        <w:gridCol w:w="2296"/>
      </w:tblGrid>
      <w:tr w:rsidR="00535617" w:rsidRPr="00263BB7" w:rsidTr="00263BB7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535617" w:rsidRPr="00263BB7" w:rsidRDefault="00CB27C2" w:rsidP="00FC4EC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</w:t>
            </w:r>
            <w:r w:rsidR="00FC4EC7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romedio de días estancia</w:t>
            </w:r>
            <w:r w:rsidR="007C5D8F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25CB" w:rsidRPr="00263BB7" w:rsidTr="00263BB7">
        <w:tc>
          <w:tcPr>
            <w:tcW w:w="11624" w:type="dxa"/>
            <w:gridSpan w:val="25"/>
            <w:tcBorders>
              <w:bottom w:val="nil"/>
            </w:tcBorders>
            <w:shd w:val="clear" w:color="auto" w:fill="538135" w:themeFill="accent6" w:themeFillShade="BF"/>
          </w:tcPr>
          <w:p w:rsidR="008325CB" w:rsidRPr="00263BB7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263BB7" w:rsidTr="00263BB7">
        <w:tc>
          <w:tcPr>
            <w:tcW w:w="3511" w:type="dxa"/>
            <w:gridSpan w:val="6"/>
            <w:tcBorders>
              <w:top w:val="nil"/>
            </w:tcBorders>
            <w:shd w:val="clear" w:color="auto" w:fill="auto"/>
          </w:tcPr>
          <w:p w:rsidR="006962E7" w:rsidRPr="00263BB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263BB7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263BB7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263BB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893" w:type="dxa"/>
            <w:gridSpan w:val="3"/>
            <w:tcBorders>
              <w:top w:val="nil"/>
            </w:tcBorders>
            <w:shd w:val="clear" w:color="auto" w:fill="auto"/>
          </w:tcPr>
          <w:p w:rsidR="006962E7" w:rsidRPr="00263BB7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263BB7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263BB7" w:rsidTr="00263BB7">
        <w:tc>
          <w:tcPr>
            <w:tcW w:w="11624" w:type="dxa"/>
            <w:gridSpan w:val="25"/>
            <w:shd w:val="clear" w:color="auto" w:fill="auto"/>
          </w:tcPr>
          <w:p w:rsidR="00E87793" w:rsidRPr="00263BB7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263BB7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263BB7" w:rsidTr="00263BB7">
        <w:tc>
          <w:tcPr>
            <w:tcW w:w="4951" w:type="dxa"/>
            <w:gridSpan w:val="10"/>
            <w:shd w:val="clear" w:color="auto" w:fill="auto"/>
          </w:tcPr>
          <w:p w:rsidR="007C13B1" w:rsidRPr="00263BB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673" w:type="dxa"/>
            <w:gridSpan w:val="15"/>
            <w:shd w:val="clear" w:color="auto" w:fill="auto"/>
          </w:tcPr>
          <w:p w:rsidR="007C13B1" w:rsidRPr="00263BB7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263BB7" w:rsidTr="00263BB7">
        <w:tc>
          <w:tcPr>
            <w:tcW w:w="11624" w:type="dxa"/>
            <w:gridSpan w:val="25"/>
            <w:shd w:val="clear" w:color="auto" w:fill="auto"/>
          </w:tcPr>
          <w:p w:rsidR="00AA05A4" w:rsidRPr="00263BB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263BB7" w:rsidRDefault="001621E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263BB7" w:rsidTr="00263BB7">
        <w:tc>
          <w:tcPr>
            <w:tcW w:w="11624" w:type="dxa"/>
            <w:gridSpan w:val="25"/>
            <w:shd w:val="clear" w:color="auto" w:fill="auto"/>
          </w:tcPr>
          <w:p w:rsidR="00AA05A4" w:rsidRPr="00263BB7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263BB7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263BB7" w:rsidTr="00263BB7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3F15D4" w:rsidRPr="00263BB7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641980" w:rsidRPr="00263BB7" w:rsidRDefault="009C49F1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Atención hospitalaria especializada otorgada</w:t>
            </w:r>
          </w:p>
          <w:p w:rsidR="00E23603" w:rsidRPr="00263BB7" w:rsidRDefault="009C49F1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3603" w:rsidRPr="00263BB7" w:rsidTr="00263BB7">
        <w:tc>
          <w:tcPr>
            <w:tcW w:w="11624" w:type="dxa"/>
            <w:gridSpan w:val="25"/>
            <w:shd w:val="clear" w:color="auto" w:fill="C00000"/>
          </w:tcPr>
          <w:p w:rsidR="00E23603" w:rsidRPr="00263BB7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263BB7" w:rsidTr="00263BB7">
        <w:tc>
          <w:tcPr>
            <w:tcW w:w="5311" w:type="dxa"/>
            <w:gridSpan w:val="12"/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shd w:val="clear" w:color="auto" w:fill="auto"/>
          </w:tcPr>
          <w:p w:rsidR="00647733" w:rsidRPr="00263BB7" w:rsidRDefault="00647733" w:rsidP="00B27C9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647733" w:rsidRPr="00263BB7" w:rsidRDefault="000D0EAE" w:rsidP="0067563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2.</w:t>
            </w:r>
            <w:r w:rsidR="00110CC7" w:rsidRPr="00263BB7">
              <w:rPr>
                <w:rFonts w:ascii="Montserrat" w:hAnsi="Montserrat" w:cs="Arial"/>
                <w:bCs/>
                <w:sz w:val="20"/>
                <w:szCs w:val="20"/>
              </w:rPr>
              <w:t>5</w:t>
            </w:r>
          </w:p>
        </w:tc>
      </w:tr>
      <w:tr w:rsidR="00647733" w:rsidRPr="00263BB7" w:rsidTr="00263BB7">
        <w:tc>
          <w:tcPr>
            <w:tcW w:w="5311" w:type="dxa"/>
            <w:gridSpan w:val="12"/>
            <w:shd w:val="clear" w:color="auto" w:fill="auto"/>
          </w:tcPr>
          <w:p w:rsidR="00CB27C2" w:rsidRPr="00263BB7" w:rsidRDefault="00CB27C2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53F03" w:rsidRPr="00263BB7" w:rsidRDefault="00FC4EC7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Promedio de días estancia </w:t>
            </w:r>
          </w:p>
          <w:p w:rsidR="00C73D8C" w:rsidRDefault="00C73D8C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C543E" w:rsidRPr="00263BB7" w:rsidRDefault="008C543E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263BB7" w:rsidRDefault="00AC5016" w:rsidP="00EC267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0D0EAE"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EC267C" w:rsidRPr="00263BB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</w:tc>
      </w:tr>
      <w:tr w:rsidR="00507DF3" w:rsidRPr="00263BB7" w:rsidTr="00263BB7">
        <w:tc>
          <w:tcPr>
            <w:tcW w:w="5311" w:type="dxa"/>
            <w:gridSpan w:val="12"/>
            <w:shd w:val="clear" w:color="auto" w:fill="auto"/>
          </w:tcPr>
          <w:p w:rsidR="00507DF3" w:rsidRPr="00263BB7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CB27C2" w:rsidRPr="00263BB7" w:rsidRDefault="00CB27C2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263BB7" w:rsidRDefault="00B736E6" w:rsidP="0037054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370541" w:rsidRPr="00263BB7">
              <w:rPr>
                <w:rFonts w:ascii="Montserrat" w:hAnsi="Montserrat" w:cs="Arial"/>
                <w:bCs/>
                <w:sz w:val="20"/>
                <w:szCs w:val="20"/>
              </w:rPr>
              <w:t>iencia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263BB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C61807" w:rsidRPr="00263BB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272E74" w:rsidRPr="00263BB7" w:rsidRDefault="00272E74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53F03" w:rsidRPr="00263BB7" w:rsidRDefault="00A067AA" w:rsidP="00C73D8C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sz w:val="20"/>
                <w:szCs w:val="20"/>
              </w:rPr>
              <w:t>Tiempo promedio que utiliza la entidad para atender a los pacientes hospitalizados</w:t>
            </w:r>
          </w:p>
          <w:p w:rsidR="00641980" w:rsidRDefault="00641980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8C543E" w:rsidRPr="00263BB7" w:rsidRDefault="008C543E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263BB7" w:rsidTr="00263BB7">
        <w:tc>
          <w:tcPr>
            <w:tcW w:w="531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263BB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B86AF2" w:rsidRPr="00263BB7" w:rsidRDefault="00B86AF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B86AF2" w:rsidRPr="00263BB7" w:rsidRDefault="00A574D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Número </w:t>
            </w:r>
            <w:r w:rsidR="00B86AF2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de días </w:t>
            </w:r>
            <w:r w:rsidR="00C8066C" w:rsidRPr="00263BB7">
              <w:rPr>
                <w:rFonts w:ascii="Montserrat" w:hAnsi="Montserrat" w:cs="Arial"/>
                <w:bCs/>
                <w:sz w:val="20"/>
                <w:szCs w:val="20"/>
              </w:rPr>
              <w:t>estancia</w:t>
            </w:r>
            <w:r w:rsidR="00B86AF2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/ Total de egresos </w:t>
            </w:r>
          </w:p>
          <w:p w:rsidR="00FF5673" w:rsidRPr="00263BB7" w:rsidRDefault="00B86AF2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hospitalarios</w:t>
            </w:r>
          </w:p>
          <w:p w:rsidR="001D1BF3" w:rsidRDefault="001D1BF3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C543E" w:rsidRPr="00263BB7" w:rsidRDefault="008C543E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263BB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263BB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07DF3" w:rsidRPr="00263BB7" w:rsidRDefault="00507DF3" w:rsidP="00836688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1C05C6" w:rsidRPr="00263BB7" w:rsidRDefault="001C05C6" w:rsidP="00836688">
            <w:pPr>
              <w:rPr>
                <w:rFonts w:ascii="Montserrat" w:hAnsi="Montserrat" w:cs="Arial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sz w:val="20"/>
                <w:szCs w:val="20"/>
              </w:rPr>
              <w:t>Promedio</w:t>
            </w:r>
          </w:p>
        </w:tc>
      </w:tr>
      <w:tr w:rsidR="00647733" w:rsidRPr="00263BB7" w:rsidTr="00263BB7">
        <w:tc>
          <w:tcPr>
            <w:tcW w:w="531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263BB7" w:rsidTr="00263BB7">
        <w:tc>
          <w:tcPr>
            <w:tcW w:w="531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263BB7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263BB7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263BB7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263BB7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263BB7" w:rsidTr="00263BB7">
        <w:tc>
          <w:tcPr>
            <w:tcW w:w="11624" w:type="dxa"/>
            <w:gridSpan w:val="25"/>
            <w:shd w:val="clear" w:color="auto" w:fill="C00000"/>
          </w:tcPr>
          <w:p w:rsidR="004C04C3" w:rsidRPr="00263BB7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263BB7" w:rsidTr="00263BB7">
        <w:tc>
          <w:tcPr>
            <w:tcW w:w="1891" w:type="dxa"/>
            <w:gridSpan w:val="2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04" w:type="dxa"/>
            <w:gridSpan w:val="2"/>
            <w:vMerge w:val="restart"/>
            <w:shd w:val="clear" w:color="auto" w:fill="auto"/>
          </w:tcPr>
          <w:p w:rsidR="0053138B" w:rsidRPr="00263BB7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8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4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263BB7" w:rsidTr="00263BB7">
        <w:tc>
          <w:tcPr>
            <w:tcW w:w="1891" w:type="dxa"/>
            <w:gridSpan w:val="2"/>
            <w:shd w:val="clear" w:color="auto" w:fill="auto"/>
            <w:vAlign w:val="center"/>
          </w:tcPr>
          <w:p w:rsidR="0053138B" w:rsidRPr="00263BB7" w:rsidRDefault="007524B6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263BB7" w:rsidRDefault="007524B6" w:rsidP="007524B6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263BB7" w:rsidRDefault="00032B4A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04" w:type="dxa"/>
            <w:gridSpan w:val="2"/>
            <w:vMerge/>
            <w:shd w:val="clear" w:color="auto" w:fill="auto"/>
            <w:vAlign w:val="center"/>
          </w:tcPr>
          <w:p w:rsidR="0053138B" w:rsidRPr="00263BB7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:rsidR="0053138B" w:rsidRPr="00263BB7" w:rsidRDefault="00032B4A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:rsidR="0053138B" w:rsidRPr="00263BB7" w:rsidRDefault="00032B4A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3138B" w:rsidRPr="00263BB7" w:rsidRDefault="001621E1" w:rsidP="00B71E02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263BB7" w:rsidTr="00263BB7">
        <w:tc>
          <w:tcPr>
            <w:tcW w:w="11624" w:type="dxa"/>
            <w:gridSpan w:val="25"/>
            <w:shd w:val="clear" w:color="auto" w:fill="auto"/>
          </w:tcPr>
          <w:p w:rsidR="002029E6" w:rsidRDefault="002029E6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171537" w:rsidRPr="00263BB7" w:rsidRDefault="00171537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47E6B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8958FD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958FD" w:rsidRPr="00263BB7">
              <w:rPr>
                <w:rFonts w:ascii="Montserrat" w:hAnsi="Montserrat" w:cs="Arial"/>
                <w:bCs/>
                <w:sz w:val="18"/>
                <w:szCs w:val="18"/>
              </w:rPr>
              <w:t>Refleja el uso de las camas de hospitalización disponibles en los servicios hospitalarios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755C6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A755C6"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está presente en los sistemas de información institucionales 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47E6B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47E6B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561BD4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958FD"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Traduce </w:t>
            </w:r>
            <w:r w:rsidR="00307D59">
              <w:rPr>
                <w:rFonts w:ascii="Montserrat" w:hAnsi="Montserrat" w:cs="Arial"/>
                <w:bCs/>
                <w:sz w:val="18"/>
                <w:szCs w:val="18"/>
              </w:rPr>
              <w:t xml:space="preserve">la </w:t>
            </w:r>
            <w:r w:rsidR="008958FD" w:rsidRPr="00263BB7">
              <w:rPr>
                <w:rFonts w:ascii="Montserrat" w:hAnsi="Montserrat" w:cs="Arial"/>
                <w:bCs/>
                <w:sz w:val="18"/>
                <w:szCs w:val="18"/>
              </w:rPr>
              <w:t>optimización del</w:t>
            </w:r>
            <w:r w:rsidR="00307D59">
              <w:rPr>
                <w:rFonts w:ascii="Montserrat" w:hAnsi="Montserrat" w:cs="Arial"/>
                <w:bCs/>
                <w:sz w:val="18"/>
                <w:szCs w:val="18"/>
              </w:rPr>
              <w:t xml:space="preserve"> uso del</w:t>
            </w:r>
            <w:r w:rsidR="008958FD"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 recurso cama de hospitalización y la eficacia en la resolución de los</w:t>
            </w:r>
            <w:r w:rsidR="00561BD4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307D59">
              <w:rPr>
                <w:rFonts w:ascii="Montserrat" w:hAnsi="Montserrat" w:cs="Arial"/>
                <w:bCs/>
                <w:sz w:val="18"/>
                <w:szCs w:val="18"/>
              </w:rPr>
              <w:t>p</w:t>
            </w:r>
            <w:r w:rsidR="008958FD" w:rsidRPr="00263BB7">
              <w:rPr>
                <w:rFonts w:ascii="Montserrat" w:hAnsi="Montserrat" w:cs="Arial"/>
                <w:bCs/>
                <w:sz w:val="18"/>
                <w:szCs w:val="18"/>
              </w:rPr>
              <w:t>roblemas de salud que ameritaron hospitalización</w:t>
            </w:r>
          </w:p>
          <w:p w:rsidR="001B1D1C" w:rsidRPr="00263BB7" w:rsidRDefault="001B1D1C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263BB7" w:rsidTr="00263BB7">
        <w:tc>
          <w:tcPr>
            <w:tcW w:w="11624" w:type="dxa"/>
            <w:gridSpan w:val="25"/>
            <w:shd w:val="clear" w:color="auto" w:fill="auto"/>
          </w:tcPr>
          <w:p w:rsidR="005E6741" w:rsidRPr="00263BB7" w:rsidRDefault="00AA719A" w:rsidP="001D5C3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FC3EC3" w:rsidRPr="00263BB7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565275" w:rsidRPr="00263BB7">
              <w:rPr>
                <w:rFonts w:ascii="Montserrat" w:hAnsi="Montserrat" w:cs="Arial"/>
                <w:bCs/>
                <w:sz w:val="20"/>
                <w:szCs w:val="20"/>
              </w:rPr>
              <w:t>, 2017, 2018</w:t>
            </w:r>
            <w:r w:rsidR="00307D59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2C492D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B63890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813A03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813A03" w:rsidRPr="007D1B77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263BB7" w:rsidTr="00263BB7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FF5673" w:rsidRPr="00263BB7" w:rsidRDefault="00AA719A" w:rsidP="006E0FC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263BB7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FF5673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6E0FC6" w:rsidRPr="00263BB7">
              <w:rPr>
                <w:rFonts w:ascii="Montserrat" w:hAnsi="Montserrat" w:cs="Arial"/>
                <w:bCs/>
                <w:sz w:val="20"/>
                <w:szCs w:val="20"/>
              </w:rPr>
              <w:t>entidades</w:t>
            </w:r>
            <w:r w:rsidR="00370541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ejecutoras del programa</w:t>
            </w:r>
          </w:p>
          <w:p w:rsidR="001D1BF3" w:rsidRPr="00263BB7" w:rsidRDefault="001D1BF3" w:rsidP="006E0FC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712663" w:rsidRPr="00263BB7" w:rsidTr="00263BB7">
        <w:tc>
          <w:tcPr>
            <w:tcW w:w="11624" w:type="dxa"/>
            <w:gridSpan w:val="25"/>
            <w:shd w:val="clear" w:color="auto" w:fill="C00000"/>
          </w:tcPr>
          <w:p w:rsidR="00712663" w:rsidRPr="00263BB7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263BB7" w:rsidTr="00263BB7">
        <w:trPr>
          <w:trHeight w:val="274"/>
        </w:trPr>
        <w:tc>
          <w:tcPr>
            <w:tcW w:w="5359" w:type="dxa"/>
            <w:gridSpan w:val="13"/>
            <w:shd w:val="clear" w:color="auto" w:fill="auto"/>
          </w:tcPr>
          <w:p w:rsidR="00270110" w:rsidRPr="00263BB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263BB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263BB7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263BB7" w:rsidTr="00263BB7">
        <w:trPr>
          <w:trHeight w:val="274"/>
        </w:trPr>
        <w:tc>
          <w:tcPr>
            <w:tcW w:w="1673" w:type="dxa"/>
            <w:shd w:val="clear" w:color="auto" w:fill="auto"/>
          </w:tcPr>
          <w:p w:rsidR="00013FE4" w:rsidRPr="00263BB7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13FE4" w:rsidRPr="00263BB7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263BB7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  </w:t>
            </w:r>
            <w:r w:rsidR="00996DCB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263BB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shd w:val="clear" w:color="auto" w:fill="auto"/>
          </w:tcPr>
          <w:p w:rsidR="00013FE4" w:rsidRPr="00263BB7" w:rsidRDefault="00996DCB" w:rsidP="001D581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  <w:r w:rsidR="001E39E2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013FE4" w:rsidRPr="00263BB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263BB7" w:rsidTr="00263BB7">
        <w:trPr>
          <w:trHeight w:val="274"/>
        </w:trPr>
        <w:tc>
          <w:tcPr>
            <w:tcW w:w="1673" w:type="dxa"/>
            <w:shd w:val="clear" w:color="auto" w:fill="auto"/>
            <w:vAlign w:val="center"/>
          </w:tcPr>
          <w:p w:rsidR="00013FE4" w:rsidRPr="00263BB7" w:rsidRDefault="00717A88" w:rsidP="00717A8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FC3EC3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7.0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13FE4" w:rsidRPr="00263BB7" w:rsidRDefault="00717A88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263BB7" w:rsidRDefault="003943F6" w:rsidP="00ED238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263BB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shd w:val="clear" w:color="auto" w:fill="auto"/>
          </w:tcPr>
          <w:p w:rsidR="00013FE4" w:rsidRPr="00263BB7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9E1033" w:rsidRPr="00263BB7" w:rsidRDefault="00ED1AEB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</w:t>
            </w:r>
            <w:r w:rsidR="00083F92" w:rsidRPr="00263BB7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263BB7" w:rsidTr="00263BB7">
        <w:trPr>
          <w:trHeight w:val="274"/>
        </w:trPr>
        <w:tc>
          <w:tcPr>
            <w:tcW w:w="5359" w:type="dxa"/>
            <w:gridSpan w:val="13"/>
            <w:shd w:val="clear" w:color="auto" w:fill="auto"/>
          </w:tcPr>
          <w:p w:rsidR="00760043" w:rsidRPr="00263BB7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263BB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263BB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263BB7" w:rsidTr="00263BB7">
        <w:trPr>
          <w:trHeight w:val="274"/>
        </w:trPr>
        <w:tc>
          <w:tcPr>
            <w:tcW w:w="5359" w:type="dxa"/>
            <w:gridSpan w:val="13"/>
            <w:shd w:val="clear" w:color="auto" w:fill="auto"/>
          </w:tcPr>
          <w:p w:rsidR="00D5103F" w:rsidRPr="007C1EBE" w:rsidRDefault="0080116E" w:rsidP="0080116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C1EBE">
              <w:rPr>
                <w:rFonts w:ascii="Montserrat" w:hAnsi="Montserrat" w:cs="Arial"/>
                <w:bCs/>
                <w:sz w:val="20"/>
                <w:szCs w:val="20"/>
              </w:rPr>
              <w:t>Descendente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263BB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D5103F" w:rsidRPr="00263BB7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D5103F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D5103F" w:rsidRPr="00263BB7" w:rsidRDefault="003943F6" w:rsidP="00561BD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D5103F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296" w:type="dxa"/>
            <w:shd w:val="clear" w:color="auto" w:fill="auto"/>
          </w:tcPr>
          <w:p w:rsidR="00D5103F" w:rsidRPr="00263BB7" w:rsidRDefault="003943F6" w:rsidP="00561BD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2F656F" w:rsidRPr="00263BB7" w:rsidTr="00263BB7">
        <w:trPr>
          <w:trHeight w:val="274"/>
        </w:trPr>
        <w:tc>
          <w:tcPr>
            <w:tcW w:w="2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2F656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2F656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2F656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263BB7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ED1AEB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2F656F" w:rsidRPr="00263BB7" w:rsidRDefault="00ED1AEB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</w:t>
            </w:r>
            <w:proofErr w:type="spellStart"/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2F656F" w:rsidRPr="00263BB7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ED1AEB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2F656F" w:rsidRPr="00263BB7" w:rsidRDefault="00ED1AEB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proofErr w:type="spellStart"/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2F656F" w:rsidRPr="00263BB7" w:rsidRDefault="00ED1AEB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263BB7" w:rsidTr="00263BB7">
        <w:trPr>
          <w:trHeight w:val="274"/>
        </w:trPr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1D73C0" w:rsidRPr="00263BB7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C00F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263BB7" w:rsidTr="00263BB7">
        <w:trPr>
          <w:trHeight w:val="148"/>
        </w:trPr>
        <w:tc>
          <w:tcPr>
            <w:tcW w:w="6031" w:type="dxa"/>
            <w:gridSpan w:val="17"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263BB7" w:rsidTr="00263BB7">
        <w:trPr>
          <w:trHeight w:val="483"/>
        </w:trPr>
        <w:tc>
          <w:tcPr>
            <w:tcW w:w="6031" w:type="dxa"/>
            <w:gridSpan w:val="17"/>
            <w:shd w:val="clear" w:color="auto" w:fill="auto"/>
          </w:tcPr>
          <w:p w:rsidR="00370541" w:rsidRPr="00263BB7" w:rsidRDefault="0037054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563CA" w:rsidRPr="00263BB7" w:rsidRDefault="00E923B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E923BD" w:rsidRPr="00263BB7" w:rsidRDefault="00A574D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Número</w:t>
            </w:r>
            <w:r w:rsidR="00E53939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de días </w:t>
            </w:r>
            <w:r w:rsidR="00D66283" w:rsidRPr="00263BB7">
              <w:rPr>
                <w:rFonts w:ascii="Montserrat" w:hAnsi="Montserrat" w:cs="Arial"/>
                <w:bCs/>
                <w:sz w:val="20"/>
                <w:szCs w:val="20"/>
              </w:rPr>
              <w:t>estancia</w:t>
            </w:r>
          </w:p>
          <w:p w:rsidR="00653F03" w:rsidRPr="00263BB7" w:rsidRDefault="00653F0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A7F2D" w:rsidRPr="00263BB7" w:rsidRDefault="003A7F2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6C7" w:rsidRPr="00263BB7" w:rsidRDefault="00AE538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263BB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9436C7" w:rsidRPr="00263BB7" w:rsidRDefault="00E5393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Total de egresos hospitalarios</w:t>
            </w:r>
          </w:p>
          <w:p w:rsidR="00653F03" w:rsidRPr="00263BB7" w:rsidRDefault="00653F03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B732C1" w:rsidRPr="00263BB7" w:rsidRDefault="00B732C1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70541" w:rsidRPr="00263BB7" w:rsidRDefault="00370541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AE5389" w:rsidRPr="00263BB7" w:rsidRDefault="00625BFF" w:rsidP="00C73D8C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sz w:val="20"/>
                <w:szCs w:val="20"/>
              </w:rPr>
              <w:t>Número total de días estancia de los egresos hospitalarios ocurridos</w:t>
            </w:r>
            <w:r w:rsidR="00E57805" w:rsidRPr="00263BB7">
              <w:rPr>
                <w:rFonts w:ascii="Montserrat" w:hAnsi="Montserrat" w:cs="Arial"/>
                <w:sz w:val="20"/>
                <w:szCs w:val="20"/>
              </w:rPr>
              <w:t xml:space="preserve"> en el período de evaluación </w:t>
            </w:r>
          </w:p>
          <w:p w:rsidR="00370541" w:rsidRPr="00263BB7" w:rsidRDefault="00370541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A7F2D" w:rsidRPr="00263BB7" w:rsidRDefault="003A7F2D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AE5389" w:rsidRPr="00263BB7" w:rsidRDefault="00987A0C" w:rsidP="00E57805">
            <w:pPr>
              <w:rPr>
                <w:rFonts w:ascii="Montserrat" w:hAnsi="Montserrat" w:cs="Arial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sz w:val="20"/>
                <w:szCs w:val="20"/>
              </w:rPr>
              <w:t>Total de egresos hospitalarios en el período</w:t>
            </w:r>
          </w:p>
          <w:p w:rsidR="003A7F2D" w:rsidRDefault="003A7F2D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7C1EBE" w:rsidRPr="00263BB7" w:rsidRDefault="007C1EBE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263BB7" w:rsidTr="00263BB7">
        <w:trPr>
          <w:trHeight w:val="285"/>
        </w:trPr>
        <w:tc>
          <w:tcPr>
            <w:tcW w:w="6031" w:type="dxa"/>
            <w:gridSpan w:val="17"/>
            <w:shd w:val="clear" w:color="auto" w:fill="auto"/>
          </w:tcPr>
          <w:p w:rsidR="00C563CA" w:rsidRPr="00263BB7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263BB7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360" w:type="dxa"/>
            <w:vMerge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C563CA" w:rsidRPr="00263BB7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BF0723" w:rsidRPr="00263BB7" w:rsidTr="00263BB7">
        <w:trPr>
          <w:trHeight w:val="1474"/>
        </w:trPr>
        <w:tc>
          <w:tcPr>
            <w:tcW w:w="6031" w:type="dxa"/>
            <w:gridSpan w:val="17"/>
            <w:shd w:val="clear" w:color="auto" w:fill="auto"/>
          </w:tcPr>
          <w:p w:rsidR="00C73D8C" w:rsidRPr="00BE5157" w:rsidRDefault="00C73D8C" w:rsidP="00BE5157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5F2E4B" w:rsidRPr="00BE5157" w:rsidRDefault="005A6981" w:rsidP="00BE5157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280658"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. </w:t>
            </w:r>
            <w:r w:rsidR="00767B5D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7D1B7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7D1B77" w:rsidRPr="007D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767B5D" w:rsidRPr="007D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BF0723"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280658" w:rsidRPr="00BE5157" w:rsidRDefault="005F2E4B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>Promedio de días estancia</w:t>
            </w:r>
          </w:p>
          <w:p w:rsidR="00C657E8" w:rsidRPr="00BE5157" w:rsidRDefault="00280658" w:rsidP="00BE5157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C657E8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1150B9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C657E8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1150B9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C657E8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/P</w:t>
            </w:r>
            <w:r w:rsidR="001150B9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romedio_de_dias_estancia</w:t>
            </w:r>
          </w:p>
          <w:p w:rsidR="00280658" w:rsidRPr="00BE5157" w:rsidRDefault="00280658" w:rsidP="00B63890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="00B63890">
              <w:rPr>
                <w:rFonts w:ascii="Montserrat" w:hAnsi="Montserrat" w:cs="Arial"/>
                <w:bCs/>
                <w:sz w:val="18"/>
                <w:szCs w:val="18"/>
              </w:rPr>
              <w:t xml:space="preserve"> Lic. Raymundo Reyes Mendieta</w:t>
            </w:r>
          </w:p>
          <w:p w:rsidR="00DC3A9A" w:rsidRDefault="00280658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BF0723" w:rsidRPr="00BE5157" w:rsidRDefault="005F2E4B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shd w:val="clear" w:color="auto" w:fill="auto"/>
          </w:tcPr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Día estancia</w:t>
            </w:r>
          </w:p>
        </w:tc>
      </w:tr>
      <w:tr w:rsidR="00BF0723" w:rsidRPr="00263BB7" w:rsidTr="00263BB7">
        <w:trPr>
          <w:trHeight w:val="1552"/>
        </w:trPr>
        <w:tc>
          <w:tcPr>
            <w:tcW w:w="6031" w:type="dxa"/>
            <w:gridSpan w:val="17"/>
            <w:shd w:val="clear" w:color="auto" w:fill="auto"/>
          </w:tcPr>
          <w:p w:rsidR="00C73D8C" w:rsidRPr="00BE5157" w:rsidRDefault="00C73D8C" w:rsidP="00BE5157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5F2E4B" w:rsidRPr="00BE5157" w:rsidRDefault="005A6981" w:rsidP="00BE5157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280658"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CISHAE</w:t>
            </w: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767B5D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7D1B7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7D1B77" w:rsidRPr="007D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767B5D" w:rsidRPr="007D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BF0723"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C73D8C" w:rsidRPr="00BE5157" w:rsidRDefault="005F2E4B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>Promedio de días estancia</w:t>
            </w:r>
          </w:p>
          <w:p w:rsidR="003F3BD5" w:rsidRPr="00BE5157" w:rsidRDefault="003F3BD5" w:rsidP="00BE5157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https://ccinshae.gob.mx/DCPE/E023/Promedio_de_dias_estancia</w:t>
            </w:r>
          </w:p>
          <w:p w:rsidR="00280658" w:rsidRPr="00BE5157" w:rsidRDefault="00280658" w:rsidP="00B63890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B63890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DC3A9A" w:rsidRDefault="00280658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BF0723" w:rsidRPr="00BE5157" w:rsidRDefault="005F2E4B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shd w:val="clear" w:color="auto" w:fill="auto"/>
          </w:tcPr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Egreso hospitalario</w:t>
            </w:r>
          </w:p>
        </w:tc>
      </w:tr>
      <w:tr w:rsidR="00C563CA" w:rsidRPr="00263BB7" w:rsidTr="00263BB7">
        <w:trPr>
          <w:trHeight w:val="483"/>
        </w:trPr>
        <w:tc>
          <w:tcPr>
            <w:tcW w:w="6031" w:type="dxa"/>
            <w:gridSpan w:val="17"/>
            <w:shd w:val="clear" w:color="auto" w:fill="auto"/>
          </w:tcPr>
          <w:p w:rsidR="009F7EE4" w:rsidRPr="00BE5157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Desagregación </w:t>
            </w:r>
            <w:r w:rsidR="00802BAE"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geográfica</w:t>
            </w:r>
          </w:p>
          <w:p w:rsidR="009F7EE4" w:rsidRPr="00BE5157" w:rsidRDefault="00353BA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>Nacional</w:t>
            </w:r>
            <w:r w:rsidR="00C74272"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 (Cobertura Programa)</w:t>
            </w:r>
          </w:p>
        </w:tc>
        <w:tc>
          <w:tcPr>
            <w:tcW w:w="360" w:type="dxa"/>
            <w:vMerge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353BAB" w:rsidRPr="00263BB7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353BAB" w:rsidRPr="00263BB7" w:rsidRDefault="00C7427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Trimestr</w:t>
            </w:r>
            <w:r w:rsidR="007524B6" w:rsidRPr="00263BB7">
              <w:rPr>
                <w:rFonts w:ascii="Montserrat" w:hAnsi="Montserrat" w:cs="Arial"/>
                <w:bCs/>
                <w:sz w:val="20"/>
                <w:szCs w:val="20"/>
              </w:rPr>
              <w:t>al</w:t>
            </w:r>
          </w:p>
        </w:tc>
      </w:tr>
      <w:tr w:rsidR="00C563CA" w:rsidRPr="00263BB7" w:rsidTr="00263BB7">
        <w:trPr>
          <w:trHeight w:val="483"/>
        </w:trPr>
        <w:tc>
          <w:tcPr>
            <w:tcW w:w="6031" w:type="dxa"/>
            <w:gridSpan w:val="17"/>
            <w:shd w:val="clear" w:color="auto" w:fill="auto"/>
          </w:tcPr>
          <w:p w:rsidR="00C563CA" w:rsidRPr="00BE5157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Método de recopilación de datos</w:t>
            </w:r>
          </w:p>
          <w:p w:rsidR="00353BAB" w:rsidRPr="00BE5157" w:rsidRDefault="004F51B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>Explotación de registro administrativo</w:t>
            </w:r>
          </w:p>
        </w:tc>
        <w:tc>
          <w:tcPr>
            <w:tcW w:w="360" w:type="dxa"/>
            <w:vMerge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4F51B3" w:rsidRPr="00263BB7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C563CA" w:rsidRPr="00263BB7" w:rsidRDefault="006C6B11" w:rsidP="00565275">
            <w:pPr>
              <w:rPr>
                <w:rFonts w:ascii="Montserrat" w:hAnsi="Montserrat" w:cs="Arial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Pr="0083211F">
              <w:rPr>
                <w:rFonts w:ascii="Montserrat" w:hAnsi="Montserrat" w:cs="Arial"/>
                <w:sz w:val="20"/>
                <w:szCs w:val="20"/>
                <w:highlight w:val="cyan"/>
              </w:rPr>
              <w:t>20</w:t>
            </w:r>
            <w:r w:rsidR="00565275" w:rsidRPr="0083211F">
              <w:rPr>
                <w:rFonts w:ascii="Montserrat" w:hAnsi="Montserrat" w:cs="Arial"/>
                <w:sz w:val="20"/>
                <w:szCs w:val="20"/>
                <w:highlight w:val="cyan"/>
              </w:rPr>
              <w:t>2</w:t>
            </w:r>
            <w:r w:rsidR="0083211F" w:rsidRPr="0083211F">
              <w:rPr>
                <w:rFonts w:ascii="Montserrat" w:hAnsi="Montserrat" w:cs="Arial"/>
                <w:sz w:val="20"/>
                <w:szCs w:val="20"/>
                <w:highlight w:val="cyan"/>
              </w:rPr>
              <w:t>4</w:t>
            </w:r>
            <w:r w:rsidR="004F51B3" w:rsidRPr="00263BB7">
              <w:rPr>
                <w:rFonts w:ascii="Montserrat" w:hAnsi="Montserrat" w:cs="Arial"/>
                <w:sz w:val="20"/>
                <w:szCs w:val="20"/>
              </w:rPr>
              <w:t xml:space="preserve"> (Definitivo</w:t>
            </w:r>
            <w:r w:rsidR="004F51B3" w:rsidRPr="008D479E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C00000"/>
          </w:tcPr>
          <w:p w:rsidR="00C00FCA" w:rsidRPr="00263BB7" w:rsidRDefault="00C00FC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9F7EE4" w:rsidRPr="00263BB7" w:rsidTr="00263BB7">
        <w:trPr>
          <w:trHeight w:val="503"/>
        </w:trPr>
        <w:tc>
          <w:tcPr>
            <w:tcW w:w="4111" w:type="dxa"/>
            <w:gridSpan w:val="7"/>
            <w:shd w:val="clear" w:color="auto" w:fill="auto"/>
          </w:tcPr>
          <w:p w:rsidR="009F7EE4" w:rsidRPr="00263BB7" w:rsidRDefault="009F7E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9F7EE4" w:rsidRPr="00263BB7" w:rsidRDefault="009F7EE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033" w:type="dxa"/>
            <w:gridSpan w:val="17"/>
            <w:shd w:val="clear" w:color="auto" w:fill="auto"/>
          </w:tcPr>
          <w:p w:rsidR="009F7EE4" w:rsidRPr="00263BB7" w:rsidRDefault="009F7E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9F7EE4" w:rsidRPr="00263BB7" w:rsidTr="00BE5157">
        <w:trPr>
          <w:trHeight w:val="268"/>
        </w:trPr>
        <w:tc>
          <w:tcPr>
            <w:tcW w:w="4111" w:type="dxa"/>
            <w:gridSpan w:val="7"/>
            <w:shd w:val="clear" w:color="auto" w:fill="auto"/>
          </w:tcPr>
          <w:p w:rsidR="009F7EE4" w:rsidRPr="00263BB7" w:rsidRDefault="009F7EE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9F7EE4" w:rsidRPr="00263BB7" w:rsidRDefault="009F7EE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033" w:type="dxa"/>
            <w:gridSpan w:val="17"/>
            <w:shd w:val="clear" w:color="auto" w:fill="auto"/>
          </w:tcPr>
          <w:p w:rsidR="00B42901" w:rsidRPr="00263BB7" w:rsidRDefault="00B42901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C00FCA" w:rsidRPr="00263BB7" w:rsidRDefault="00EA76A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EA76A9" w:rsidRPr="00263BB7" w:rsidRDefault="00EA76A9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C00000"/>
          </w:tcPr>
          <w:p w:rsidR="00C00FCA" w:rsidRPr="00263BB7" w:rsidRDefault="00EA76A9" w:rsidP="00BE51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6C6008" w:rsidRPr="00263BB7" w:rsidRDefault="006C6008" w:rsidP="002F656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857456" w:rsidRDefault="00857456" w:rsidP="00BE5157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sz w:val="20"/>
                <w:szCs w:val="20"/>
              </w:rPr>
            </w:pPr>
            <w:r w:rsidRPr="00956DE7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Días estancia:</w:t>
            </w:r>
            <w:r w:rsidRPr="00743F9C">
              <w:rPr>
                <w:rFonts w:ascii="Montserrat" w:hAnsi="Montserrat" w:cs="Arial"/>
                <w:sz w:val="20"/>
                <w:szCs w:val="20"/>
              </w:rPr>
              <w:t xml:space="preserve"> número de días transcurridos desde el ingreso del paciente al servicio de hospitalización y hasta su egreso; se obtiene restando a la fecha de egreso la de ingreso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, de acuerdo con </w:t>
            </w:r>
            <w:r w:rsidR="002347B8" w:rsidRPr="00BE5157">
              <w:rPr>
                <w:rFonts w:ascii="Montserrat" w:hAnsi="Montserrat" w:cs="Arial"/>
                <w:sz w:val="20"/>
                <w:szCs w:val="20"/>
              </w:rPr>
              <w:t xml:space="preserve">la </w:t>
            </w:r>
            <w:r w:rsidR="002347B8" w:rsidRPr="00BE5157">
              <w:rPr>
                <w:rFonts w:ascii="Montserrat" w:hAnsi="Montserrat" w:cs="Arial"/>
                <w:b/>
                <w:sz w:val="20"/>
                <w:szCs w:val="20"/>
              </w:rPr>
              <w:t>Norma Oficial Mexicana NOM-035-SSA3-2012 “En materia de información en Salud”</w:t>
            </w:r>
            <w:r>
              <w:rPr>
                <w:rFonts w:ascii="Montserrat" w:hAnsi="Montserrat" w:cs="Arial"/>
                <w:b/>
                <w:sz w:val="20"/>
                <w:szCs w:val="20"/>
              </w:rPr>
              <w:t>.</w:t>
            </w:r>
          </w:p>
          <w:p w:rsidR="00857456" w:rsidRPr="00BE5157" w:rsidRDefault="00857456" w:rsidP="00BE5157">
            <w:pPr>
              <w:ind w:left="360"/>
              <w:rPr>
                <w:rFonts w:ascii="Montserrat" w:hAnsi="Montserrat" w:cs="Arial"/>
                <w:sz w:val="20"/>
                <w:szCs w:val="20"/>
              </w:rPr>
            </w:pPr>
          </w:p>
          <w:p w:rsidR="00857456" w:rsidRDefault="002347B8" w:rsidP="00BE5157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sz w:val="20"/>
                <w:szCs w:val="20"/>
              </w:rPr>
            </w:pPr>
            <w:r w:rsidRPr="00BE5157">
              <w:rPr>
                <w:rFonts w:ascii="Montserrat" w:hAnsi="Montserrat" w:cs="Arial"/>
                <w:sz w:val="20"/>
                <w:szCs w:val="20"/>
              </w:rPr>
              <w:t xml:space="preserve">Cuando el paciente ingresa y egresa en la misma fecha, ocupando una cama </w:t>
            </w:r>
            <w:proofErr w:type="spellStart"/>
            <w:r w:rsidR="00857456">
              <w:rPr>
                <w:rFonts w:ascii="Montserrat" w:hAnsi="Montserrat" w:cs="Arial"/>
                <w:sz w:val="20"/>
                <w:szCs w:val="20"/>
              </w:rPr>
              <w:t>c</w:t>
            </w:r>
            <w:r w:rsidR="00857456" w:rsidRPr="00857456">
              <w:rPr>
                <w:rFonts w:ascii="Montserrat" w:hAnsi="Montserrat" w:cs="Arial"/>
                <w:sz w:val="20"/>
                <w:szCs w:val="20"/>
              </w:rPr>
              <w:t>ens</w:t>
            </w:r>
            <w:r w:rsidR="00857456">
              <w:rPr>
                <w:rFonts w:ascii="Montserrat" w:hAnsi="Montserrat" w:cs="Arial"/>
                <w:sz w:val="20"/>
                <w:szCs w:val="20"/>
              </w:rPr>
              <w:t>a</w:t>
            </w:r>
            <w:r w:rsidR="00857456" w:rsidRPr="00857456">
              <w:rPr>
                <w:rFonts w:ascii="Montserrat" w:hAnsi="Montserrat" w:cs="Arial"/>
                <w:sz w:val="20"/>
                <w:szCs w:val="20"/>
              </w:rPr>
              <w:t>ble</w:t>
            </w:r>
            <w:proofErr w:type="spellEnd"/>
            <w:r w:rsidRPr="00BE5157">
              <w:rPr>
                <w:rFonts w:ascii="Montserrat" w:hAnsi="Montserrat" w:cs="Arial"/>
                <w:sz w:val="20"/>
                <w:szCs w:val="20"/>
              </w:rPr>
              <w:t>, se cuenta como un día estancia.</w:t>
            </w:r>
          </w:p>
          <w:p w:rsidR="00857456" w:rsidRPr="00BE5157" w:rsidRDefault="00857456" w:rsidP="00BE5157">
            <w:pPr>
              <w:pStyle w:val="Prrafodelista"/>
              <w:rPr>
                <w:rFonts w:ascii="Montserrat" w:hAnsi="Montserrat" w:cs="Arial"/>
                <w:sz w:val="20"/>
                <w:szCs w:val="20"/>
              </w:rPr>
            </w:pPr>
          </w:p>
          <w:p w:rsidR="003F3BD5" w:rsidRPr="00956DE7" w:rsidRDefault="00857456" w:rsidP="00BE5157">
            <w:pPr>
              <w:pStyle w:val="Prrafodelista"/>
              <w:numPr>
                <w:ilvl w:val="0"/>
                <w:numId w:val="6"/>
              </w:numPr>
              <w:rPr>
                <w:b/>
                <w:bCs/>
              </w:rPr>
            </w:pPr>
            <w:r w:rsidRPr="00857456">
              <w:rPr>
                <w:rFonts w:ascii="Montserrat" w:hAnsi="Montserrat" w:cs="Arial"/>
                <w:sz w:val="20"/>
                <w:szCs w:val="20"/>
              </w:rPr>
              <w:t>Las camas en los servicios de corta estancia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857456">
              <w:rPr>
                <w:rFonts w:ascii="Montserrat" w:hAnsi="Montserrat" w:cs="Arial"/>
                <w:sz w:val="20"/>
                <w:szCs w:val="20"/>
              </w:rPr>
              <w:t xml:space="preserve">no </w:t>
            </w:r>
            <w:r w:rsidR="002347B8" w:rsidRPr="00BE5157">
              <w:rPr>
                <w:rFonts w:ascii="Montserrat" w:hAnsi="Montserrat" w:cs="Arial"/>
                <w:sz w:val="20"/>
                <w:szCs w:val="20"/>
              </w:rPr>
              <w:t>contabiliza</w:t>
            </w:r>
            <w:r w:rsidRPr="00857456">
              <w:rPr>
                <w:rFonts w:ascii="Montserrat" w:hAnsi="Montserrat" w:cs="Arial"/>
                <w:sz w:val="20"/>
                <w:szCs w:val="20"/>
              </w:rPr>
              <w:t>n</w:t>
            </w:r>
            <w:r w:rsidR="002347B8" w:rsidRPr="00BE5157">
              <w:rPr>
                <w:rFonts w:ascii="Montserrat" w:hAnsi="Montserrat" w:cs="Arial"/>
                <w:sz w:val="20"/>
                <w:szCs w:val="20"/>
              </w:rPr>
              <w:t xml:space="preserve"> días de estancia dado que en estos servicios ha utilizado una cama no </w:t>
            </w:r>
            <w:proofErr w:type="spellStart"/>
            <w:r w:rsidRPr="00857456">
              <w:rPr>
                <w:rFonts w:ascii="Montserrat" w:hAnsi="Montserrat" w:cs="Arial"/>
                <w:sz w:val="20"/>
                <w:szCs w:val="20"/>
              </w:rPr>
              <w:t>c</w:t>
            </w:r>
            <w:r w:rsidR="00263BB7" w:rsidRPr="00BE5157">
              <w:rPr>
                <w:rFonts w:ascii="Montserrat" w:hAnsi="Montserrat" w:cs="Arial"/>
                <w:sz w:val="20"/>
                <w:szCs w:val="20"/>
              </w:rPr>
              <w:t>ens</w:t>
            </w:r>
            <w:r w:rsidRPr="00857456">
              <w:rPr>
                <w:rFonts w:ascii="Montserrat" w:hAnsi="Montserrat" w:cs="Arial"/>
                <w:sz w:val="20"/>
                <w:szCs w:val="20"/>
              </w:rPr>
              <w:t>a</w:t>
            </w:r>
            <w:r w:rsidR="00263BB7" w:rsidRPr="00BE5157">
              <w:rPr>
                <w:rFonts w:ascii="Montserrat" w:hAnsi="Montserrat" w:cs="Arial"/>
                <w:sz w:val="20"/>
                <w:szCs w:val="20"/>
              </w:rPr>
              <w:t>ble</w:t>
            </w:r>
            <w:proofErr w:type="spellEnd"/>
            <w:r w:rsidR="002347B8" w:rsidRPr="00BE5157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956DE7" w:rsidRPr="00956DE7" w:rsidRDefault="00956DE7" w:rsidP="00956DE7">
            <w:pPr>
              <w:ind w:left="360"/>
              <w:rPr>
                <w:b/>
                <w:bCs/>
              </w:rPr>
            </w:pPr>
          </w:p>
        </w:tc>
      </w:tr>
    </w:tbl>
    <w:p w:rsidR="00E92259" w:rsidRPr="00263BB7" w:rsidRDefault="00E92259" w:rsidP="004E399E">
      <w:pPr>
        <w:rPr>
          <w:rFonts w:ascii="Montserrat" w:hAnsi="Montserrat"/>
        </w:rPr>
      </w:pPr>
    </w:p>
    <w:sectPr w:rsidR="00E92259" w:rsidRPr="00263BB7" w:rsidSect="00565275">
      <w:pgSz w:w="12240" w:h="15840"/>
      <w:pgMar w:top="1077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B2B6B09"/>
    <w:multiLevelType w:val="hybridMultilevel"/>
    <w:tmpl w:val="81A4E674"/>
    <w:lvl w:ilvl="0" w:tplc="727A3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061BF"/>
    <w:multiLevelType w:val="hybridMultilevel"/>
    <w:tmpl w:val="380EF8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08DD"/>
    <w:rsid w:val="00001C13"/>
    <w:rsid w:val="000035F7"/>
    <w:rsid w:val="000036BD"/>
    <w:rsid w:val="00003D29"/>
    <w:rsid w:val="00004C0E"/>
    <w:rsid w:val="000054BA"/>
    <w:rsid w:val="000131F9"/>
    <w:rsid w:val="00013FE4"/>
    <w:rsid w:val="00014114"/>
    <w:rsid w:val="00014DFC"/>
    <w:rsid w:val="0002007E"/>
    <w:rsid w:val="0002143B"/>
    <w:rsid w:val="0002296D"/>
    <w:rsid w:val="0002557E"/>
    <w:rsid w:val="000279B2"/>
    <w:rsid w:val="00032B4A"/>
    <w:rsid w:val="000372AE"/>
    <w:rsid w:val="000408FC"/>
    <w:rsid w:val="00045EEE"/>
    <w:rsid w:val="00047E6B"/>
    <w:rsid w:val="0005034D"/>
    <w:rsid w:val="00053CBB"/>
    <w:rsid w:val="00056194"/>
    <w:rsid w:val="00061691"/>
    <w:rsid w:val="00065B24"/>
    <w:rsid w:val="0007028B"/>
    <w:rsid w:val="0007663E"/>
    <w:rsid w:val="00082BE4"/>
    <w:rsid w:val="00083114"/>
    <w:rsid w:val="00083F92"/>
    <w:rsid w:val="00086F89"/>
    <w:rsid w:val="0009353E"/>
    <w:rsid w:val="000950E6"/>
    <w:rsid w:val="000A0702"/>
    <w:rsid w:val="000A24E1"/>
    <w:rsid w:val="000A2A99"/>
    <w:rsid w:val="000B009A"/>
    <w:rsid w:val="000B0F78"/>
    <w:rsid w:val="000B3C4F"/>
    <w:rsid w:val="000B4337"/>
    <w:rsid w:val="000C5FCD"/>
    <w:rsid w:val="000D0CA2"/>
    <w:rsid w:val="000D0EAE"/>
    <w:rsid w:val="000D13B6"/>
    <w:rsid w:val="000D3ED4"/>
    <w:rsid w:val="000D4D17"/>
    <w:rsid w:val="000D7076"/>
    <w:rsid w:val="000E3CC9"/>
    <w:rsid w:val="000E7ADE"/>
    <w:rsid w:val="000F02B4"/>
    <w:rsid w:val="000F0E7D"/>
    <w:rsid w:val="000F2278"/>
    <w:rsid w:val="000F55CE"/>
    <w:rsid w:val="00100AE9"/>
    <w:rsid w:val="00106717"/>
    <w:rsid w:val="00110CC7"/>
    <w:rsid w:val="001150B9"/>
    <w:rsid w:val="00125E79"/>
    <w:rsid w:val="0012611A"/>
    <w:rsid w:val="00134A05"/>
    <w:rsid w:val="0014722D"/>
    <w:rsid w:val="001509C4"/>
    <w:rsid w:val="001540A6"/>
    <w:rsid w:val="001621E1"/>
    <w:rsid w:val="001649D5"/>
    <w:rsid w:val="00171218"/>
    <w:rsid w:val="00171537"/>
    <w:rsid w:val="00173BAC"/>
    <w:rsid w:val="001750ED"/>
    <w:rsid w:val="0017781A"/>
    <w:rsid w:val="00177917"/>
    <w:rsid w:val="00187AE6"/>
    <w:rsid w:val="001A18C7"/>
    <w:rsid w:val="001B02EE"/>
    <w:rsid w:val="001B1D1C"/>
    <w:rsid w:val="001B43D0"/>
    <w:rsid w:val="001B4CA9"/>
    <w:rsid w:val="001C05C6"/>
    <w:rsid w:val="001C2315"/>
    <w:rsid w:val="001C394E"/>
    <w:rsid w:val="001C57FA"/>
    <w:rsid w:val="001D103F"/>
    <w:rsid w:val="001D1B0E"/>
    <w:rsid w:val="001D1BF3"/>
    <w:rsid w:val="001D3AD2"/>
    <w:rsid w:val="001D42E4"/>
    <w:rsid w:val="001D5819"/>
    <w:rsid w:val="001D5C37"/>
    <w:rsid w:val="001D73C0"/>
    <w:rsid w:val="001E0819"/>
    <w:rsid w:val="001E29D2"/>
    <w:rsid w:val="001E39E2"/>
    <w:rsid w:val="001E5FC8"/>
    <w:rsid w:val="002018B0"/>
    <w:rsid w:val="00202028"/>
    <w:rsid w:val="002029E6"/>
    <w:rsid w:val="00207D7D"/>
    <w:rsid w:val="00213680"/>
    <w:rsid w:val="00215E4E"/>
    <w:rsid w:val="002173FA"/>
    <w:rsid w:val="00221EB1"/>
    <w:rsid w:val="002273E7"/>
    <w:rsid w:val="00227A93"/>
    <w:rsid w:val="00231092"/>
    <w:rsid w:val="00232F6F"/>
    <w:rsid w:val="002347B8"/>
    <w:rsid w:val="00236244"/>
    <w:rsid w:val="00241EBA"/>
    <w:rsid w:val="002421BF"/>
    <w:rsid w:val="00243286"/>
    <w:rsid w:val="00247038"/>
    <w:rsid w:val="00256A6C"/>
    <w:rsid w:val="00263BB7"/>
    <w:rsid w:val="00264599"/>
    <w:rsid w:val="00264DD5"/>
    <w:rsid w:val="0026713E"/>
    <w:rsid w:val="00270110"/>
    <w:rsid w:val="00272E74"/>
    <w:rsid w:val="002763B1"/>
    <w:rsid w:val="00280658"/>
    <w:rsid w:val="0028088C"/>
    <w:rsid w:val="00284C01"/>
    <w:rsid w:val="00290AFC"/>
    <w:rsid w:val="002B1767"/>
    <w:rsid w:val="002B562A"/>
    <w:rsid w:val="002B5933"/>
    <w:rsid w:val="002C102A"/>
    <w:rsid w:val="002C492D"/>
    <w:rsid w:val="002D0729"/>
    <w:rsid w:val="002E0C63"/>
    <w:rsid w:val="002E5808"/>
    <w:rsid w:val="002E5CAC"/>
    <w:rsid w:val="002F3E7B"/>
    <w:rsid w:val="002F656F"/>
    <w:rsid w:val="003068AC"/>
    <w:rsid w:val="00307D59"/>
    <w:rsid w:val="00310CD4"/>
    <w:rsid w:val="00311948"/>
    <w:rsid w:val="00312203"/>
    <w:rsid w:val="00313F80"/>
    <w:rsid w:val="003151D2"/>
    <w:rsid w:val="0031574C"/>
    <w:rsid w:val="00316192"/>
    <w:rsid w:val="00316DE8"/>
    <w:rsid w:val="00323F9C"/>
    <w:rsid w:val="00337FA8"/>
    <w:rsid w:val="003402DA"/>
    <w:rsid w:val="0034543F"/>
    <w:rsid w:val="00345B2D"/>
    <w:rsid w:val="00353BAB"/>
    <w:rsid w:val="00360965"/>
    <w:rsid w:val="00363FC2"/>
    <w:rsid w:val="00364109"/>
    <w:rsid w:val="00364E34"/>
    <w:rsid w:val="003667DC"/>
    <w:rsid w:val="003677F6"/>
    <w:rsid w:val="00370541"/>
    <w:rsid w:val="00377CFE"/>
    <w:rsid w:val="003809B8"/>
    <w:rsid w:val="00382DED"/>
    <w:rsid w:val="00383B5E"/>
    <w:rsid w:val="00384C8A"/>
    <w:rsid w:val="00384D6D"/>
    <w:rsid w:val="00392A7D"/>
    <w:rsid w:val="003943F6"/>
    <w:rsid w:val="00394BDC"/>
    <w:rsid w:val="003970CF"/>
    <w:rsid w:val="003A03A8"/>
    <w:rsid w:val="003A3330"/>
    <w:rsid w:val="003A33C5"/>
    <w:rsid w:val="003A7F2D"/>
    <w:rsid w:val="003B04A2"/>
    <w:rsid w:val="003B1CB0"/>
    <w:rsid w:val="003B2AFA"/>
    <w:rsid w:val="003B7B79"/>
    <w:rsid w:val="003C4381"/>
    <w:rsid w:val="003C4452"/>
    <w:rsid w:val="003C4D77"/>
    <w:rsid w:val="003C5519"/>
    <w:rsid w:val="003D1508"/>
    <w:rsid w:val="003D20D0"/>
    <w:rsid w:val="003D7E92"/>
    <w:rsid w:val="003E4DA6"/>
    <w:rsid w:val="003E509F"/>
    <w:rsid w:val="003E553B"/>
    <w:rsid w:val="003E60DF"/>
    <w:rsid w:val="003F0176"/>
    <w:rsid w:val="003F15D4"/>
    <w:rsid w:val="003F3BD5"/>
    <w:rsid w:val="003F5706"/>
    <w:rsid w:val="003F61F4"/>
    <w:rsid w:val="003F7343"/>
    <w:rsid w:val="0040103B"/>
    <w:rsid w:val="004069EA"/>
    <w:rsid w:val="00407C34"/>
    <w:rsid w:val="00413F05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65B3"/>
    <w:rsid w:val="00437095"/>
    <w:rsid w:val="004420AD"/>
    <w:rsid w:val="004478B6"/>
    <w:rsid w:val="00451444"/>
    <w:rsid w:val="0045632E"/>
    <w:rsid w:val="00467CBF"/>
    <w:rsid w:val="0047580B"/>
    <w:rsid w:val="00480806"/>
    <w:rsid w:val="004819FB"/>
    <w:rsid w:val="00485E51"/>
    <w:rsid w:val="004A1F57"/>
    <w:rsid w:val="004A573E"/>
    <w:rsid w:val="004B1AE3"/>
    <w:rsid w:val="004B3B83"/>
    <w:rsid w:val="004B7F66"/>
    <w:rsid w:val="004C04C3"/>
    <w:rsid w:val="004C1D83"/>
    <w:rsid w:val="004C1FF5"/>
    <w:rsid w:val="004C3A4B"/>
    <w:rsid w:val="004C5813"/>
    <w:rsid w:val="004D19C8"/>
    <w:rsid w:val="004D57B0"/>
    <w:rsid w:val="004D7B26"/>
    <w:rsid w:val="004E0C64"/>
    <w:rsid w:val="004E184C"/>
    <w:rsid w:val="004E1B19"/>
    <w:rsid w:val="004E2C96"/>
    <w:rsid w:val="004E399E"/>
    <w:rsid w:val="004E5B50"/>
    <w:rsid w:val="004F3620"/>
    <w:rsid w:val="004F51B3"/>
    <w:rsid w:val="0050580F"/>
    <w:rsid w:val="00507431"/>
    <w:rsid w:val="00507DF3"/>
    <w:rsid w:val="0052195B"/>
    <w:rsid w:val="0053138B"/>
    <w:rsid w:val="005339AF"/>
    <w:rsid w:val="00533BC4"/>
    <w:rsid w:val="00535617"/>
    <w:rsid w:val="00537E8D"/>
    <w:rsid w:val="005411EB"/>
    <w:rsid w:val="00541E9A"/>
    <w:rsid w:val="00542B83"/>
    <w:rsid w:val="005431FF"/>
    <w:rsid w:val="00543204"/>
    <w:rsid w:val="00551C99"/>
    <w:rsid w:val="00555F07"/>
    <w:rsid w:val="00561BD4"/>
    <w:rsid w:val="005622EA"/>
    <w:rsid w:val="00565275"/>
    <w:rsid w:val="00571F91"/>
    <w:rsid w:val="005742BD"/>
    <w:rsid w:val="0058105F"/>
    <w:rsid w:val="005837BE"/>
    <w:rsid w:val="00583CD8"/>
    <w:rsid w:val="00584B30"/>
    <w:rsid w:val="00590FAF"/>
    <w:rsid w:val="005910EE"/>
    <w:rsid w:val="00593811"/>
    <w:rsid w:val="005944CA"/>
    <w:rsid w:val="00594EA0"/>
    <w:rsid w:val="00597F19"/>
    <w:rsid w:val="005A32B5"/>
    <w:rsid w:val="005A4CDB"/>
    <w:rsid w:val="005A4F4C"/>
    <w:rsid w:val="005A6981"/>
    <w:rsid w:val="005B15DD"/>
    <w:rsid w:val="005B2796"/>
    <w:rsid w:val="005B2BC6"/>
    <w:rsid w:val="005B4A59"/>
    <w:rsid w:val="005B6EB7"/>
    <w:rsid w:val="005C058A"/>
    <w:rsid w:val="005C0D48"/>
    <w:rsid w:val="005C6150"/>
    <w:rsid w:val="005C65AB"/>
    <w:rsid w:val="005D26F3"/>
    <w:rsid w:val="005D5390"/>
    <w:rsid w:val="005E0882"/>
    <w:rsid w:val="005E1DD1"/>
    <w:rsid w:val="005E3A24"/>
    <w:rsid w:val="005E4A29"/>
    <w:rsid w:val="005E5F1B"/>
    <w:rsid w:val="005E6741"/>
    <w:rsid w:val="005E6DE5"/>
    <w:rsid w:val="005F0C81"/>
    <w:rsid w:val="005F2E4B"/>
    <w:rsid w:val="006017CA"/>
    <w:rsid w:val="00605E7F"/>
    <w:rsid w:val="006109E5"/>
    <w:rsid w:val="00615E49"/>
    <w:rsid w:val="0062536F"/>
    <w:rsid w:val="00625BFF"/>
    <w:rsid w:val="00631EF9"/>
    <w:rsid w:val="00633FD1"/>
    <w:rsid w:val="00641320"/>
    <w:rsid w:val="00641980"/>
    <w:rsid w:val="00641A9F"/>
    <w:rsid w:val="00647733"/>
    <w:rsid w:val="0064797F"/>
    <w:rsid w:val="00647B16"/>
    <w:rsid w:val="00647C4D"/>
    <w:rsid w:val="00653F03"/>
    <w:rsid w:val="006552FC"/>
    <w:rsid w:val="00655AEE"/>
    <w:rsid w:val="006573A4"/>
    <w:rsid w:val="00666D53"/>
    <w:rsid w:val="0067504F"/>
    <w:rsid w:val="0067563E"/>
    <w:rsid w:val="0067711F"/>
    <w:rsid w:val="00680963"/>
    <w:rsid w:val="006825C3"/>
    <w:rsid w:val="00683E6E"/>
    <w:rsid w:val="006942E2"/>
    <w:rsid w:val="00694E77"/>
    <w:rsid w:val="006958CE"/>
    <w:rsid w:val="006962E7"/>
    <w:rsid w:val="006A2596"/>
    <w:rsid w:val="006A32EF"/>
    <w:rsid w:val="006A3587"/>
    <w:rsid w:val="006A4173"/>
    <w:rsid w:val="006A52BB"/>
    <w:rsid w:val="006A65AE"/>
    <w:rsid w:val="006A6794"/>
    <w:rsid w:val="006A77C7"/>
    <w:rsid w:val="006B199F"/>
    <w:rsid w:val="006B277C"/>
    <w:rsid w:val="006C075C"/>
    <w:rsid w:val="006C4FCA"/>
    <w:rsid w:val="006C5997"/>
    <w:rsid w:val="006C5D67"/>
    <w:rsid w:val="006C6008"/>
    <w:rsid w:val="006C6B11"/>
    <w:rsid w:val="006D0643"/>
    <w:rsid w:val="006D6356"/>
    <w:rsid w:val="006E023E"/>
    <w:rsid w:val="006E0FC6"/>
    <w:rsid w:val="006E4A81"/>
    <w:rsid w:val="006E74AD"/>
    <w:rsid w:val="0071167C"/>
    <w:rsid w:val="007121EF"/>
    <w:rsid w:val="00712663"/>
    <w:rsid w:val="00717A88"/>
    <w:rsid w:val="00720F07"/>
    <w:rsid w:val="00721197"/>
    <w:rsid w:val="0072351D"/>
    <w:rsid w:val="007251BC"/>
    <w:rsid w:val="00742DF7"/>
    <w:rsid w:val="0075178B"/>
    <w:rsid w:val="007524B6"/>
    <w:rsid w:val="0075454A"/>
    <w:rsid w:val="00760043"/>
    <w:rsid w:val="00760ADC"/>
    <w:rsid w:val="0076175C"/>
    <w:rsid w:val="00763562"/>
    <w:rsid w:val="00763A93"/>
    <w:rsid w:val="00767B5D"/>
    <w:rsid w:val="007933FD"/>
    <w:rsid w:val="00796FEF"/>
    <w:rsid w:val="007A01B3"/>
    <w:rsid w:val="007A1B17"/>
    <w:rsid w:val="007C13B1"/>
    <w:rsid w:val="007C1EBE"/>
    <w:rsid w:val="007C201C"/>
    <w:rsid w:val="007C5D8F"/>
    <w:rsid w:val="007D1B77"/>
    <w:rsid w:val="007D2DF2"/>
    <w:rsid w:val="007D6582"/>
    <w:rsid w:val="007E4BAB"/>
    <w:rsid w:val="007F269D"/>
    <w:rsid w:val="007F5A60"/>
    <w:rsid w:val="00800087"/>
    <w:rsid w:val="0080116E"/>
    <w:rsid w:val="00802BAE"/>
    <w:rsid w:val="00813A03"/>
    <w:rsid w:val="008145DA"/>
    <w:rsid w:val="00814814"/>
    <w:rsid w:val="0081640E"/>
    <w:rsid w:val="008207C0"/>
    <w:rsid w:val="00821921"/>
    <w:rsid w:val="00823181"/>
    <w:rsid w:val="00824C38"/>
    <w:rsid w:val="008270D4"/>
    <w:rsid w:val="00827BF6"/>
    <w:rsid w:val="0083211F"/>
    <w:rsid w:val="00832452"/>
    <w:rsid w:val="008325CB"/>
    <w:rsid w:val="00832D2D"/>
    <w:rsid w:val="00836688"/>
    <w:rsid w:val="00845DC8"/>
    <w:rsid w:val="0085068E"/>
    <w:rsid w:val="00855E09"/>
    <w:rsid w:val="00856763"/>
    <w:rsid w:val="00857456"/>
    <w:rsid w:val="008611E4"/>
    <w:rsid w:val="0086140F"/>
    <w:rsid w:val="008614CC"/>
    <w:rsid w:val="00861DF7"/>
    <w:rsid w:val="00864864"/>
    <w:rsid w:val="0087003D"/>
    <w:rsid w:val="00871FFA"/>
    <w:rsid w:val="00874293"/>
    <w:rsid w:val="00876F0F"/>
    <w:rsid w:val="008802A5"/>
    <w:rsid w:val="008958FD"/>
    <w:rsid w:val="00896F72"/>
    <w:rsid w:val="008978F5"/>
    <w:rsid w:val="008A46C0"/>
    <w:rsid w:val="008A4E1D"/>
    <w:rsid w:val="008B226C"/>
    <w:rsid w:val="008B68FF"/>
    <w:rsid w:val="008C2E7B"/>
    <w:rsid w:val="008C543E"/>
    <w:rsid w:val="008C5E89"/>
    <w:rsid w:val="008D479E"/>
    <w:rsid w:val="008E5635"/>
    <w:rsid w:val="008E5708"/>
    <w:rsid w:val="008E5A0B"/>
    <w:rsid w:val="008E621A"/>
    <w:rsid w:val="008E69F5"/>
    <w:rsid w:val="008F00EE"/>
    <w:rsid w:val="008F3947"/>
    <w:rsid w:val="008F53A6"/>
    <w:rsid w:val="008F5FDF"/>
    <w:rsid w:val="00901021"/>
    <w:rsid w:val="009023A5"/>
    <w:rsid w:val="0090351D"/>
    <w:rsid w:val="009056FF"/>
    <w:rsid w:val="009100B8"/>
    <w:rsid w:val="00911057"/>
    <w:rsid w:val="009121DB"/>
    <w:rsid w:val="0092750D"/>
    <w:rsid w:val="009324DA"/>
    <w:rsid w:val="00935FBB"/>
    <w:rsid w:val="0093624C"/>
    <w:rsid w:val="00936511"/>
    <w:rsid w:val="009436C7"/>
    <w:rsid w:val="009441CA"/>
    <w:rsid w:val="00947ADF"/>
    <w:rsid w:val="00950C27"/>
    <w:rsid w:val="00953CAF"/>
    <w:rsid w:val="00955FE2"/>
    <w:rsid w:val="00956DE7"/>
    <w:rsid w:val="00957957"/>
    <w:rsid w:val="00966780"/>
    <w:rsid w:val="00967CCF"/>
    <w:rsid w:val="00970073"/>
    <w:rsid w:val="00971822"/>
    <w:rsid w:val="00973CE3"/>
    <w:rsid w:val="009824C7"/>
    <w:rsid w:val="00984AAE"/>
    <w:rsid w:val="009872CE"/>
    <w:rsid w:val="00987A0C"/>
    <w:rsid w:val="009905FC"/>
    <w:rsid w:val="00996DCB"/>
    <w:rsid w:val="009A2EB9"/>
    <w:rsid w:val="009A5742"/>
    <w:rsid w:val="009A62CC"/>
    <w:rsid w:val="009A67A0"/>
    <w:rsid w:val="009A6DAF"/>
    <w:rsid w:val="009B48D5"/>
    <w:rsid w:val="009C49F1"/>
    <w:rsid w:val="009C5C2D"/>
    <w:rsid w:val="009C775E"/>
    <w:rsid w:val="009D1ED8"/>
    <w:rsid w:val="009E09C4"/>
    <w:rsid w:val="009E1033"/>
    <w:rsid w:val="009E1B65"/>
    <w:rsid w:val="009E752E"/>
    <w:rsid w:val="009F33FD"/>
    <w:rsid w:val="009F3DC9"/>
    <w:rsid w:val="009F3FC1"/>
    <w:rsid w:val="009F607E"/>
    <w:rsid w:val="009F7EE4"/>
    <w:rsid w:val="00A02C2E"/>
    <w:rsid w:val="00A035E8"/>
    <w:rsid w:val="00A067AA"/>
    <w:rsid w:val="00A12983"/>
    <w:rsid w:val="00A23FBF"/>
    <w:rsid w:val="00A25B4C"/>
    <w:rsid w:val="00A325D4"/>
    <w:rsid w:val="00A32E6B"/>
    <w:rsid w:val="00A338FE"/>
    <w:rsid w:val="00A3463A"/>
    <w:rsid w:val="00A408EC"/>
    <w:rsid w:val="00A416A3"/>
    <w:rsid w:val="00A4239C"/>
    <w:rsid w:val="00A46E08"/>
    <w:rsid w:val="00A512C7"/>
    <w:rsid w:val="00A55753"/>
    <w:rsid w:val="00A574DB"/>
    <w:rsid w:val="00A705B7"/>
    <w:rsid w:val="00A711E0"/>
    <w:rsid w:val="00A755C6"/>
    <w:rsid w:val="00A76209"/>
    <w:rsid w:val="00A77D7E"/>
    <w:rsid w:val="00A80AF2"/>
    <w:rsid w:val="00A821B9"/>
    <w:rsid w:val="00A86270"/>
    <w:rsid w:val="00A87B2D"/>
    <w:rsid w:val="00A90D65"/>
    <w:rsid w:val="00A94AFF"/>
    <w:rsid w:val="00A978AF"/>
    <w:rsid w:val="00AA05A4"/>
    <w:rsid w:val="00AA62F3"/>
    <w:rsid w:val="00AA719A"/>
    <w:rsid w:val="00AB5ACC"/>
    <w:rsid w:val="00AB6972"/>
    <w:rsid w:val="00AC1725"/>
    <w:rsid w:val="00AC367E"/>
    <w:rsid w:val="00AC5016"/>
    <w:rsid w:val="00AC6F3B"/>
    <w:rsid w:val="00AC78D1"/>
    <w:rsid w:val="00AC7CBB"/>
    <w:rsid w:val="00AD1394"/>
    <w:rsid w:val="00AD285B"/>
    <w:rsid w:val="00AD2FC3"/>
    <w:rsid w:val="00AE3FB0"/>
    <w:rsid w:val="00AE464F"/>
    <w:rsid w:val="00AE5389"/>
    <w:rsid w:val="00AE747A"/>
    <w:rsid w:val="00AE7E7A"/>
    <w:rsid w:val="00AF56A4"/>
    <w:rsid w:val="00B02CA7"/>
    <w:rsid w:val="00B04D09"/>
    <w:rsid w:val="00B0743E"/>
    <w:rsid w:val="00B07E7B"/>
    <w:rsid w:val="00B12D65"/>
    <w:rsid w:val="00B1583E"/>
    <w:rsid w:val="00B25159"/>
    <w:rsid w:val="00B27C98"/>
    <w:rsid w:val="00B30307"/>
    <w:rsid w:val="00B42541"/>
    <w:rsid w:val="00B42901"/>
    <w:rsid w:val="00B436FE"/>
    <w:rsid w:val="00B53008"/>
    <w:rsid w:val="00B54E71"/>
    <w:rsid w:val="00B561B5"/>
    <w:rsid w:val="00B63890"/>
    <w:rsid w:val="00B708AF"/>
    <w:rsid w:val="00B71E02"/>
    <w:rsid w:val="00B71F22"/>
    <w:rsid w:val="00B732C1"/>
    <w:rsid w:val="00B736E6"/>
    <w:rsid w:val="00B7538D"/>
    <w:rsid w:val="00B80F2A"/>
    <w:rsid w:val="00B82EDE"/>
    <w:rsid w:val="00B83A2A"/>
    <w:rsid w:val="00B83D07"/>
    <w:rsid w:val="00B8687E"/>
    <w:rsid w:val="00B86AF2"/>
    <w:rsid w:val="00B90C04"/>
    <w:rsid w:val="00B91B4B"/>
    <w:rsid w:val="00B946CD"/>
    <w:rsid w:val="00BA33AF"/>
    <w:rsid w:val="00BA5F91"/>
    <w:rsid w:val="00BB2AE6"/>
    <w:rsid w:val="00BB5212"/>
    <w:rsid w:val="00BB669B"/>
    <w:rsid w:val="00BC23B1"/>
    <w:rsid w:val="00BC2F13"/>
    <w:rsid w:val="00BC45AD"/>
    <w:rsid w:val="00BC577A"/>
    <w:rsid w:val="00BC7062"/>
    <w:rsid w:val="00BD013E"/>
    <w:rsid w:val="00BD05A8"/>
    <w:rsid w:val="00BD1D89"/>
    <w:rsid w:val="00BD7548"/>
    <w:rsid w:val="00BD7606"/>
    <w:rsid w:val="00BE0AFF"/>
    <w:rsid w:val="00BE13DD"/>
    <w:rsid w:val="00BE2ABC"/>
    <w:rsid w:val="00BE361F"/>
    <w:rsid w:val="00BE5157"/>
    <w:rsid w:val="00BE7E62"/>
    <w:rsid w:val="00BF0723"/>
    <w:rsid w:val="00BF0C45"/>
    <w:rsid w:val="00BF24B5"/>
    <w:rsid w:val="00BF48A4"/>
    <w:rsid w:val="00C00FCA"/>
    <w:rsid w:val="00C02A33"/>
    <w:rsid w:val="00C0502A"/>
    <w:rsid w:val="00C070A7"/>
    <w:rsid w:val="00C11C99"/>
    <w:rsid w:val="00C12EBD"/>
    <w:rsid w:val="00C30A77"/>
    <w:rsid w:val="00C32331"/>
    <w:rsid w:val="00C33CEA"/>
    <w:rsid w:val="00C36260"/>
    <w:rsid w:val="00C425C1"/>
    <w:rsid w:val="00C44EB8"/>
    <w:rsid w:val="00C5363F"/>
    <w:rsid w:val="00C53DC4"/>
    <w:rsid w:val="00C54679"/>
    <w:rsid w:val="00C563CA"/>
    <w:rsid w:val="00C56465"/>
    <w:rsid w:val="00C61694"/>
    <w:rsid w:val="00C61807"/>
    <w:rsid w:val="00C642C2"/>
    <w:rsid w:val="00C657E8"/>
    <w:rsid w:val="00C71159"/>
    <w:rsid w:val="00C73D8C"/>
    <w:rsid w:val="00C74272"/>
    <w:rsid w:val="00C75DE1"/>
    <w:rsid w:val="00C8066C"/>
    <w:rsid w:val="00C80BF4"/>
    <w:rsid w:val="00C824A4"/>
    <w:rsid w:val="00C91434"/>
    <w:rsid w:val="00C92082"/>
    <w:rsid w:val="00C92264"/>
    <w:rsid w:val="00C9487D"/>
    <w:rsid w:val="00C95C47"/>
    <w:rsid w:val="00CA17EE"/>
    <w:rsid w:val="00CA1B8C"/>
    <w:rsid w:val="00CA33B3"/>
    <w:rsid w:val="00CB27C2"/>
    <w:rsid w:val="00CB3680"/>
    <w:rsid w:val="00CB5396"/>
    <w:rsid w:val="00CC116B"/>
    <w:rsid w:val="00CC4E7F"/>
    <w:rsid w:val="00CC5086"/>
    <w:rsid w:val="00CC5C2E"/>
    <w:rsid w:val="00CC5F22"/>
    <w:rsid w:val="00CD2EF2"/>
    <w:rsid w:val="00CD50B9"/>
    <w:rsid w:val="00CD51B9"/>
    <w:rsid w:val="00CF4CD4"/>
    <w:rsid w:val="00D011DB"/>
    <w:rsid w:val="00D01A6E"/>
    <w:rsid w:val="00D04B04"/>
    <w:rsid w:val="00D06228"/>
    <w:rsid w:val="00D076A7"/>
    <w:rsid w:val="00D11B10"/>
    <w:rsid w:val="00D11D66"/>
    <w:rsid w:val="00D13FCA"/>
    <w:rsid w:val="00D1406F"/>
    <w:rsid w:val="00D27D63"/>
    <w:rsid w:val="00D32823"/>
    <w:rsid w:val="00D35D53"/>
    <w:rsid w:val="00D409DD"/>
    <w:rsid w:val="00D43555"/>
    <w:rsid w:val="00D44277"/>
    <w:rsid w:val="00D47DBB"/>
    <w:rsid w:val="00D5103F"/>
    <w:rsid w:val="00D52B35"/>
    <w:rsid w:val="00D57237"/>
    <w:rsid w:val="00D630C3"/>
    <w:rsid w:val="00D66283"/>
    <w:rsid w:val="00D66441"/>
    <w:rsid w:val="00D71E05"/>
    <w:rsid w:val="00D73296"/>
    <w:rsid w:val="00D76BD4"/>
    <w:rsid w:val="00D80829"/>
    <w:rsid w:val="00D80D08"/>
    <w:rsid w:val="00D816B6"/>
    <w:rsid w:val="00D82574"/>
    <w:rsid w:val="00D901A0"/>
    <w:rsid w:val="00D96A92"/>
    <w:rsid w:val="00D96E50"/>
    <w:rsid w:val="00DA0624"/>
    <w:rsid w:val="00DA0A8A"/>
    <w:rsid w:val="00DA402A"/>
    <w:rsid w:val="00DA7DB5"/>
    <w:rsid w:val="00DB7AD7"/>
    <w:rsid w:val="00DC1089"/>
    <w:rsid w:val="00DC1B9C"/>
    <w:rsid w:val="00DC1BFA"/>
    <w:rsid w:val="00DC3A9A"/>
    <w:rsid w:val="00DC4B3E"/>
    <w:rsid w:val="00DD4CC6"/>
    <w:rsid w:val="00DE60D6"/>
    <w:rsid w:val="00E07676"/>
    <w:rsid w:val="00E101C7"/>
    <w:rsid w:val="00E10407"/>
    <w:rsid w:val="00E10625"/>
    <w:rsid w:val="00E122D6"/>
    <w:rsid w:val="00E13306"/>
    <w:rsid w:val="00E23603"/>
    <w:rsid w:val="00E23FD4"/>
    <w:rsid w:val="00E244E3"/>
    <w:rsid w:val="00E32FAF"/>
    <w:rsid w:val="00E503D3"/>
    <w:rsid w:val="00E52ADB"/>
    <w:rsid w:val="00E53939"/>
    <w:rsid w:val="00E5603C"/>
    <w:rsid w:val="00E57805"/>
    <w:rsid w:val="00E67FE9"/>
    <w:rsid w:val="00E769CC"/>
    <w:rsid w:val="00E7700A"/>
    <w:rsid w:val="00E87793"/>
    <w:rsid w:val="00E91EC9"/>
    <w:rsid w:val="00E92259"/>
    <w:rsid w:val="00E923BD"/>
    <w:rsid w:val="00E97564"/>
    <w:rsid w:val="00EA0139"/>
    <w:rsid w:val="00EA2EB7"/>
    <w:rsid w:val="00EA76A9"/>
    <w:rsid w:val="00EA79C6"/>
    <w:rsid w:val="00EA7A84"/>
    <w:rsid w:val="00EB6568"/>
    <w:rsid w:val="00EC267C"/>
    <w:rsid w:val="00EC4A40"/>
    <w:rsid w:val="00EC61CF"/>
    <w:rsid w:val="00EC6547"/>
    <w:rsid w:val="00EC66F8"/>
    <w:rsid w:val="00ED1AEB"/>
    <w:rsid w:val="00ED2386"/>
    <w:rsid w:val="00ED23E4"/>
    <w:rsid w:val="00ED2544"/>
    <w:rsid w:val="00ED2E85"/>
    <w:rsid w:val="00ED38E3"/>
    <w:rsid w:val="00ED5D55"/>
    <w:rsid w:val="00EE47E8"/>
    <w:rsid w:val="00EE5181"/>
    <w:rsid w:val="00EF5391"/>
    <w:rsid w:val="00EF60AB"/>
    <w:rsid w:val="00EF7928"/>
    <w:rsid w:val="00F01C0F"/>
    <w:rsid w:val="00F0278B"/>
    <w:rsid w:val="00F036D0"/>
    <w:rsid w:val="00F04FF2"/>
    <w:rsid w:val="00F07C60"/>
    <w:rsid w:val="00F12640"/>
    <w:rsid w:val="00F15464"/>
    <w:rsid w:val="00F17200"/>
    <w:rsid w:val="00F1730C"/>
    <w:rsid w:val="00F278AB"/>
    <w:rsid w:val="00F30E1E"/>
    <w:rsid w:val="00F41D9D"/>
    <w:rsid w:val="00F4519B"/>
    <w:rsid w:val="00F53994"/>
    <w:rsid w:val="00F57C20"/>
    <w:rsid w:val="00F63D68"/>
    <w:rsid w:val="00F65747"/>
    <w:rsid w:val="00F65795"/>
    <w:rsid w:val="00F66A9A"/>
    <w:rsid w:val="00F7327B"/>
    <w:rsid w:val="00F734D5"/>
    <w:rsid w:val="00F73802"/>
    <w:rsid w:val="00F73A79"/>
    <w:rsid w:val="00F76204"/>
    <w:rsid w:val="00F83CF0"/>
    <w:rsid w:val="00F86E97"/>
    <w:rsid w:val="00F90FE7"/>
    <w:rsid w:val="00F924C7"/>
    <w:rsid w:val="00F97A24"/>
    <w:rsid w:val="00FA1330"/>
    <w:rsid w:val="00FA1FEA"/>
    <w:rsid w:val="00FA23B4"/>
    <w:rsid w:val="00FA2F64"/>
    <w:rsid w:val="00FA6630"/>
    <w:rsid w:val="00FB3835"/>
    <w:rsid w:val="00FB40B2"/>
    <w:rsid w:val="00FB553A"/>
    <w:rsid w:val="00FB65D5"/>
    <w:rsid w:val="00FC21BA"/>
    <w:rsid w:val="00FC3EC3"/>
    <w:rsid w:val="00FC4EC7"/>
    <w:rsid w:val="00FD265D"/>
    <w:rsid w:val="00FD38B8"/>
    <w:rsid w:val="00FD5281"/>
    <w:rsid w:val="00FE0C01"/>
    <w:rsid w:val="00FE528A"/>
    <w:rsid w:val="00FE7532"/>
    <w:rsid w:val="00FF321E"/>
    <w:rsid w:val="00FF5334"/>
    <w:rsid w:val="00FF5673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7A3EB"/>
  <w15:chartTrackingRefBased/>
  <w15:docId w15:val="{2BB361F6-3110-4503-973F-59CF21A4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05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D05A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029E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5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F18F-9025-4182-B577-0EADAAF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13</cp:revision>
  <cp:lastPrinted>2018-06-13T18:03:00Z</cp:lastPrinted>
  <dcterms:created xsi:type="dcterms:W3CDTF">2019-09-11T16:09:00Z</dcterms:created>
  <dcterms:modified xsi:type="dcterms:W3CDTF">2022-06-27T14:07:00Z</dcterms:modified>
</cp:coreProperties>
</file>